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1" w:rsidRPr="00837E18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35641" w:rsidRPr="00CB402C" w:rsidRDefault="00935641" w:rsidP="00935641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</w:t>
      </w:r>
      <w:r w:rsidR="00C153FA">
        <w:rPr>
          <w:b/>
          <w:szCs w:val="24"/>
        </w:rPr>
        <w:t xml:space="preserve">       </w:t>
      </w:r>
      <w:r>
        <w:rPr>
          <w:b/>
          <w:szCs w:val="24"/>
        </w:rPr>
        <w:t xml:space="preserve">  </w:t>
      </w:r>
      <w:r>
        <w:rPr>
          <w:b/>
          <w:caps/>
          <w:sz w:val="16"/>
          <w:szCs w:val="16"/>
        </w:rPr>
        <w:t>от</w:t>
      </w:r>
      <w:r w:rsidR="00C153FA">
        <w:rPr>
          <w:b/>
          <w:caps/>
          <w:sz w:val="20"/>
        </w:rPr>
        <w:t xml:space="preserve">  « 24</w:t>
      </w:r>
      <w:r>
        <w:rPr>
          <w:b/>
          <w:caps/>
          <w:sz w:val="20"/>
        </w:rPr>
        <w:t xml:space="preserve"> »  </w:t>
      </w:r>
      <w:r w:rsidR="00C153FA">
        <w:rPr>
          <w:b/>
          <w:caps/>
          <w:sz w:val="20"/>
          <w:u w:val="single"/>
        </w:rPr>
        <w:t>июля</w:t>
      </w:r>
      <w:r>
        <w:rPr>
          <w:b/>
          <w:caps/>
          <w:sz w:val="20"/>
        </w:rPr>
        <w:t xml:space="preserve">  2018  г.  </w:t>
      </w:r>
      <w:r>
        <w:rPr>
          <w:b/>
          <w:caps/>
          <w:sz w:val="20"/>
          <w:u w:val="single"/>
        </w:rPr>
        <w:t>№</w:t>
      </w:r>
      <w:r w:rsidR="00C153FA">
        <w:rPr>
          <w:b/>
          <w:caps/>
          <w:sz w:val="20"/>
          <w:u w:val="single"/>
        </w:rPr>
        <w:t>37</w:t>
      </w:r>
      <w:r>
        <w:rPr>
          <w:b/>
          <w:caps/>
          <w:sz w:val="20"/>
          <w:u w:val="single"/>
        </w:rPr>
        <w:t xml:space="preserve">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35641" w:rsidRPr="005D07E8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b/>
          <w:sz w:val="28"/>
          <w:szCs w:val="28"/>
        </w:rPr>
        <w:t>«</w:t>
      </w:r>
      <w:r w:rsidR="005D07E8" w:rsidRPr="005D07E8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5D07E8" w:rsidRPr="005D07E8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b/>
          <w:sz w:val="28"/>
          <w:szCs w:val="28"/>
        </w:rPr>
        <w:t>»</w:t>
      </w:r>
    </w:p>
    <w:p w:rsidR="00935641" w:rsidRPr="008221CA" w:rsidRDefault="00935641" w:rsidP="00935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41" w:rsidRDefault="00935641" w:rsidP="00935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B50C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0C51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5D07E8" w:rsidRPr="005D07E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   </w:t>
      </w:r>
      <w:r w:rsidR="005D07E8">
        <w:rPr>
          <w:rFonts w:ascii="Times New Roman" w:hAnsi="Times New Roman"/>
          <w:sz w:val="28"/>
          <w:szCs w:val="28"/>
        </w:rPr>
        <w:t>№</w:t>
      </w:r>
      <w:r w:rsidR="005D07E8" w:rsidRPr="005D07E8">
        <w:rPr>
          <w:rFonts w:ascii="Times New Roman" w:hAnsi="Times New Roman"/>
          <w:sz w:val="28"/>
          <w:szCs w:val="28"/>
        </w:rPr>
        <w:t>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5D07E8">
        <w:rPr>
          <w:rFonts w:ascii="Times New Roman" w:hAnsi="Times New Roman"/>
          <w:sz w:val="28"/>
          <w:szCs w:val="28"/>
        </w:rPr>
        <w:t xml:space="preserve">, </w:t>
      </w:r>
      <w:r w:rsidR="005D07E8">
        <w:rPr>
          <w:rFonts w:ascii="Times New Roman" w:hAnsi="Times New Roman" w:cs="Times New Roman"/>
          <w:sz w:val="28"/>
          <w:szCs w:val="28"/>
        </w:rPr>
        <w:t>П</w:t>
      </w:r>
      <w:r w:rsidRPr="00B50C5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15.05.2012 г. № 22</w:t>
      </w:r>
      <w:r w:rsidRPr="00B50C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50C5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Pr="00B50C5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B50C5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935641" w:rsidRPr="00712180" w:rsidRDefault="00935641" w:rsidP="009356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712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64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sz w:val="28"/>
          <w:szCs w:val="28"/>
        </w:rPr>
        <w:t>«</w:t>
      </w:r>
      <w:r w:rsidR="005D07E8" w:rsidRPr="005D07E8">
        <w:rPr>
          <w:rFonts w:ascii="Times New Roman" w:hAnsi="Times New Roman"/>
          <w:sz w:val="28"/>
          <w:szCs w:val="28"/>
        </w:rPr>
        <w:t xml:space="preserve">Предоставление </w:t>
      </w:r>
      <w:r w:rsidR="005D07E8" w:rsidRPr="005D07E8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5D07E8" w:rsidRPr="005D07E8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sz w:val="28"/>
          <w:szCs w:val="28"/>
        </w:rPr>
        <w:t>»</w:t>
      </w:r>
      <w:r w:rsidR="00CE18B2">
        <w:rPr>
          <w:rFonts w:ascii="Times New Roman" w:hAnsi="Times New Roman" w:cs="Times New Roman"/>
          <w:sz w:val="28"/>
          <w:szCs w:val="28"/>
        </w:rPr>
        <w:t>.</w:t>
      </w:r>
    </w:p>
    <w:p w:rsidR="00935641" w:rsidRPr="00EE39A3" w:rsidRDefault="00935641" w:rsidP="009356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35641" w:rsidRPr="00B50C5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5641" w:rsidRPr="00DC6F5C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C75CB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9C75CB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641" w:rsidRDefault="00935641" w:rsidP="00935641">
      <w:pPr>
        <w:jc w:val="both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5D07E8" w:rsidRDefault="005D07E8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935641" w:rsidRPr="00E8274E" w:rsidRDefault="00CE18B2" w:rsidP="009356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935641" w:rsidRPr="00714343" w:rsidRDefault="00CE18B2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к  Постановлению</w:t>
      </w:r>
      <w:r w:rsidR="0093564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35641" w:rsidRPr="00714343">
        <w:rPr>
          <w:rFonts w:ascii="Times New Roman" w:eastAsia="Calibri" w:hAnsi="Times New Roman" w:cs="Times New Roman"/>
          <w:b/>
          <w:lang w:eastAsia="en-US"/>
        </w:rPr>
        <w:t xml:space="preserve"> администрации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935641" w:rsidRDefault="00935641" w:rsidP="00935641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</w:t>
      </w:r>
      <w:r>
        <w:rPr>
          <w:rFonts w:ascii="Times New Roman" w:eastAsia="Calibri" w:hAnsi="Times New Roman" w:cs="Times New Roman"/>
          <w:b/>
          <w:lang w:eastAsia="en-US"/>
        </w:rPr>
        <w:t>с</w:t>
      </w:r>
      <w:r w:rsidRPr="00714343">
        <w:rPr>
          <w:rFonts w:ascii="Times New Roman" w:eastAsia="Calibri" w:hAnsi="Times New Roman" w:cs="Times New Roman"/>
          <w:b/>
          <w:lang w:eastAsia="en-US"/>
        </w:rPr>
        <w:t>кой области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641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935641">
        <w:rPr>
          <w:rFonts w:ascii="Times New Roman" w:hAnsi="Times New Roman" w:cs="Times New Roman"/>
          <w:b/>
        </w:rPr>
        <w:t>Административного</w:t>
      </w:r>
      <w:proofErr w:type="gramEnd"/>
      <w:r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регламента предоставления администрацией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сельского поселения Фрунзенское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Самарской области муниципальной услуги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«Предоставление разрешени</w:t>
      </w:r>
      <w:r w:rsidR="004D746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условно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разрешенный вид использования земельного участка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Pr="00935641" w:rsidRDefault="005D07E8" w:rsidP="00935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 объекта</w:t>
      </w:r>
      <w:r w:rsidR="00935641" w:rsidRPr="00935641">
        <w:rPr>
          <w:rFonts w:ascii="Times New Roman" w:hAnsi="Times New Roman" w:cs="Times New Roman"/>
          <w:b/>
        </w:rPr>
        <w:t xml:space="preserve"> капитального строительства»</w:t>
      </w:r>
    </w:p>
    <w:p w:rsidR="00935641" w:rsidRPr="00660BCB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24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июля</w:t>
      </w:r>
      <w:r>
        <w:rPr>
          <w:rFonts w:ascii="Times New Roman" w:eastAsia="Calibri" w:hAnsi="Times New Roman" w:cs="Times New Roman"/>
          <w:b/>
          <w:lang w:eastAsia="en-US"/>
        </w:rPr>
        <w:t xml:space="preserve"> 2018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г. №</w:t>
      </w:r>
      <w:r w:rsidRPr="00074D5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37</w:t>
      </w:r>
    </w:p>
    <w:p w:rsidR="00BF2A77" w:rsidRPr="00BF2A77" w:rsidRDefault="00CF6F07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CF6F07">
        <w:rPr>
          <w:rFonts w:ascii="Times New Roman" w:eastAsia="Calibri" w:hAnsi="Times New Roman" w:cs="Times New Roman"/>
          <w:b/>
          <w:lang w:eastAsia="en-US"/>
        </w:rPr>
        <w:t xml:space="preserve">(в редакции с изменениями от 20.05.2019 г. </w:t>
      </w:r>
      <w:r>
        <w:rPr>
          <w:rFonts w:ascii="Times New Roman" w:eastAsia="Calibri" w:hAnsi="Times New Roman" w:cs="Times New Roman"/>
          <w:b/>
          <w:lang w:eastAsia="en-US"/>
        </w:rPr>
        <w:t>№51, от 04.03.2020 г. №25</w:t>
      </w:r>
      <w:r w:rsidR="00660BCB">
        <w:rPr>
          <w:rFonts w:ascii="Times New Roman" w:eastAsia="Calibri" w:hAnsi="Times New Roman" w:cs="Times New Roman"/>
          <w:b/>
          <w:lang w:eastAsia="en-US"/>
        </w:rPr>
        <w:t>, от 28.12.2020 г. №110</w:t>
      </w:r>
      <w:proofErr w:type="gramEnd"/>
    </w:p>
    <w:p w:rsidR="00CF6F07" w:rsidRPr="00CF6F07" w:rsidRDefault="00BF2A77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от  04.04.2021 г. №34</w:t>
      </w:r>
      <w:r w:rsidR="00CF6F07">
        <w:rPr>
          <w:rFonts w:ascii="Times New Roman" w:eastAsia="Calibri" w:hAnsi="Times New Roman" w:cs="Times New Roman"/>
          <w:b/>
          <w:lang w:eastAsia="en-US"/>
        </w:rPr>
        <w:t>)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1C7803" w:rsidRPr="00E8274E" w:rsidRDefault="001C7803" w:rsidP="001C7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935641" w:rsidRPr="00F8378B" w:rsidRDefault="001C7803" w:rsidP="001C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935641" w:rsidRPr="00F8378B">
        <w:rPr>
          <w:rFonts w:ascii="Times New Roman" w:hAnsi="Times New Roman"/>
          <w:b/>
          <w:sz w:val="28"/>
          <w:szCs w:val="28"/>
        </w:rPr>
        <w:t>«</w:t>
      </w:r>
      <w:r w:rsidR="00F8378B" w:rsidRPr="00F8378B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F8378B" w:rsidRPr="00F8378B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935641" w:rsidRPr="00F8378B">
        <w:rPr>
          <w:rFonts w:ascii="Times New Roman" w:hAnsi="Times New Roman"/>
          <w:b/>
          <w:sz w:val="28"/>
          <w:szCs w:val="28"/>
        </w:rPr>
        <w:t>»</w:t>
      </w:r>
    </w:p>
    <w:p w:rsidR="00935641" w:rsidRPr="001C7803" w:rsidRDefault="00935641" w:rsidP="00935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1.3. Порядок информирования о правилах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446185, Самарская о</w:t>
      </w:r>
      <w:r w:rsidR="00C153FA">
        <w:rPr>
          <w:rFonts w:ascii="Times New Roman" w:eastAsia="Times New Roman" w:hAnsi="Times New Roman" w:cs="Times New Roman"/>
          <w:sz w:val="28"/>
          <w:szCs w:val="28"/>
        </w:rPr>
        <w:t>бласть, Большеглушицкий район, п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оселок Фрунзенский, пл. Ленина, д.1.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Тел.:  8(84673)</w:t>
      </w:r>
      <w:r>
        <w:rPr>
          <w:rFonts w:ascii="Times New Roman" w:eastAsia="Times New Roman" w:hAnsi="Times New Roman" w:cs="Times New Roman"/>
          <w:sz w:val="28"/>
          <w:szCs w:val="28"/>
        </w:rPr>
        <w:t>32339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Факс: 8(84673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32434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6"/>
            <w:sz w:val="28"/>
            <w:szCs w:val="28"/>
          </w:rPr>
          <w:t>http://adm-frunzenskoe.ru</w:t>
        </w:r>
      </w:hyperlink>
    </w:p>
    <w:p w:rsidR="00CE18B2" w:rsidRP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pStyle w:val="af9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10E2C">
        <w:rPr>
          <w:rFonts w:ascii="Times New Roman" w:eastAsia="Times New Roman" w:hAnsi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E18B2" w:rsidRPr="00CE18B2" w:rsidRDefault="00CE18B2" w:rsidP="00CE18B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Pr="00552230">
          <w:rPr>
            <w:rStyle w:val="a6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1.3.11.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CE18B2" w:rsidRPr="0087757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определяется У</w:t>
      </w:r>
      <w:r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  <w:proofErr w:type="gramEnd"/>
    </w:p>
    <w:p w:rsidR="00660BCB" w:rsidRPr="00660BCB" w:rsidRDefault="00CE18B2" w:rsidP="00660BCB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0BCB">
        <w:rPr>
          <w:rFonts w:ascii="Times New Roman" w:eastAsia="Times New Roman" w:hAnsi="Times New Roman"/>
          <w:sz w:val="28"/>
          <w:szCs w:val="28"/>
        </w:rPr>
        <w:t xml:space="preserve">2.5. </w:t>
      </w:r>
      <w:r w:rsidR="00660BCB" w:rsidRPr="00660BCB">
        <w:rPr>
          <w:rFonts w:ascii="Times New Roman" w:hAnsi="Times New Roman"/>
          <w:bCs/>
          <w:iCs/>
          <w:sz w:val="28"/>
          <w:szCs w:val="28"/>
        </w:rPr>
        <w:t>Правовые основания для предоставления муниципальной услуги.</w:t>
      </w:r>
    </w:p>
    <w:p w:rsidR="00660BCB" w:rsidRPr="00660BCB" w:rsidRDefault="00660BCB" w:rsidP="00660BCB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60BCB">
        <w:rPr>
          <w:rFonts w:ascii="Times New Roman" w:hAnsi="Times New Roman"/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proofErr w:type="gramStart"/>
      <w:r w:rsidRPr="00660BCB">
        <w:rPr>
          <w:rFonts w:ascii="Times New Roman" w:hAnsi="Times New Roman"/>
          <w:bCs/>
          <w:iCs/>
          <w:sz w:val="28"/>
          <w:szCs w:val="28"/>
        </w:rPr>
        <w:t>.»;</w:t>
      </w:r>
      <w:proofErr w:type="gramEnd"/>
    </w:p>
    <w:p w:rsidR="00660BCB" w:rsidRPr="00660BCB" w:rsidRDefault="00660BCB" w:rsidP="00660BCB">
      <w:pPr>
        <w:pStyle w:val="a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0BCB">
        <w:rPr>
          <w:rFonts w:ascii="Times New Roman" w:hAnsi="Times New Roman"/>
          <w:bCs/>
          <w:iCs/>
          <w:sz w:val="28"/>
          <w:szCs w:val="28"/>
        </w:rPr>
        <w:lastRenderedPageBreak/>
        <w:t xml:space="preserve">2.6. </w:t>
      </w:r>
      <w:proofErr w:type="gramStart"/>
      <w:r w:rsidRPr="00660BCB">
        <w:rPr>
          <w:rFonts w:ascii="Times New Roman" w:hAnsi="Times New Roman"/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660BCB">
        <w:rPr>
          <w:rFonts w:ascii="Times New Roman" w:hAnsi="Times New Roman"/>
          <w:iCs/>
          <w:sz w:val="28"/>
          <w:szCs w:val="28"/>
        </w:rPr>
        <w:t xml:space="preserve">подает на бумажном носителе посредством личного обращения, в том числе через МФЦ, либо направляет посредством почтового отправления с уведомлением о вручении или </w:t>
      </w:r>
      <w:r w:rsidRPr="00660BCB">
        <w:rPr>
          <w:rFonts w:ascii="Times New Roman" w:hAnsi="Times New Roman"/>
          <w:bCs/>
          <w:iCs/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(функций) Самарской области в Комиссию по подготовке проекта правил землепользования и застройки (далее – Комиссия), следующие документы:</w:t>
      </w:r>
      <w:proofErr w:type="gramEnd"/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регламенту, которое должно содержать следующие сведения: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660BCB" w:rsidRPr="00660BCB" w:rsidRDefault="00660BCB" w:rsidP="00660BCB">
      <w:pPr>
        <w:tabs>
          <w:tab w:val="left" w:pos="1134"/>
          <w:tab w:val="left" w:pos="133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б) фамилия, имя, отчество (при наличии),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в)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г) фамилия, имя, отчество (при наличии)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660BCB" w:rsidRPr="00660BCB" w:rsidRDefault="00660BCB" w:rsidP="00660BCB">
      <w:pPr>
        <w:tabs>
          <w:tab w:val="left" w:pos="101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60BCB" w:rsidRPr="00660BCB" w:rsidRDefault="00660BCB" w:rsidP="00660B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е)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ж) испрашиваемый заявителем условно разрешенный вид использования;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</w:rPr>
        <w:t xml:space="preserve">з) обоснование необходимости предоставления разрешения на условно разрешенный вид использования, в том числе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и) сведения о соседних земельных участках и объектах капитального строительства, на них расположенных, с указанием их адресов и правообладателей;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к)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660BCB" w:rsidRPr="00660BCB" w:rsidRDefault="00660BCB" w:rsidP="00660BC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CB">
        <w:rPr>
          <w:rFonts w:ascii="Times New Roman" w:hAnsi="Times New Roman"/>
          <w:sz w:val="28"/>
          <w:szCs w:val="28"/>
        </w:rPr>
        <w:lastRenderedPageBreak/>
        <w:t>В случае если земельный участок и (или) расположенный на нем объект капитального строительства, в отношении которых испрашивается разрешение условно разрешенный вид использования, находятся в долевой собственности, то заявление должно быть подписано всеми участниками долевой собственности;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с предъявлением оригинала указанных документов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660BCB">
        <w:rPr>
          <w:rFonts w:ascii="Times New Roman" w:hAnsi="Times New Roman" w:cs="Times New Roman"/>
          <w:sz w:val="28"/>
          <w:szCs w:val="28"/>
        </w:rPr>
        <w:t>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указанные в подпункте «з» подпункта 1 настоящего пункта;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6)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660BCB" w:rsidRPr="00660BCB" w:rsidRDefault="00660BCB" w:rsidP="00660BCB">
      <w:pPr>
        <w:tabs>
          <w:tab w:val="left" w:pos="1091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660BCB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660BC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660BC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и (или) </w:t>
      </w:r>
      <w:r w:rsidRPr="00660BCB">
        <w:rPr>
          <w:rFonts w:ascii="Times New Roman" w:hAnsi="Times New Roman" w:cs="Times New Roman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</w:rPr>
        <w:t>3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br/>
        <w:t>о правах на земельный участок  и (или)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660BCB" w:rsidRDefault="00660BCB" w:rsidP="00660BCB">
      <w:pPr>
        <w:ind w:firstLine="567"/>
        <w:jc w:val="both"/>
        <w:rPr>
          <w:rStyle w:val="FontStyle57"/>
          <w:rFonts w:eastAsia="Andale Sans UI"/>
          <w:sz w:val="28"/>
          <w:szCs w:val="28"/>
        </w:rPr>
      </w:pPr>
      <w:r w:rsidRPr="00752613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пункты 2.5-2.7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Pr="00CF6F07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2.7.1.</w:t>
      </w:r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Запрещается требовать от заявителя: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пунктах 2.6, 2.7 настоящего Административного регламента;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информации, 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 органов, 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 № 210-ФЗ «Об организации предоставления государственных и муниципальных услуг»;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BC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660BC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60BCB">
        <w:rPr>
          <w:rFonts w:ascii="Times New Roman" w:hAnsi="Times New Roman" w:cs="Times New Roman"/>
          <w:sz w:val="28"/>
          <w:szCs w:val="28"/>
        </w:rPr>
        <w:t xml:space="preserve"> </w:t>
      </w:r>
      <w:r w:rsidRPr="00660BCB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</w:t>
      </w:r>
      <w:r w:rsidRPr="00660BC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660BCB" w:rsidRDefault="0081529F" w:rsidP="00660B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660BCB"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</w:t>
      </w:r>
      <w:r w:rsidR="00BF2A77">
        <w:rPr>
          <w:rFonts w:ascii="Times New Roman" w:hAnsi="Times New Roman" w:cs="Times New Roman"/>
          <w:bCs/>
          <w:iCs/>
          <w:sz w:val="28"/>
          <w:szCs w:val="28"/>
        </w:rPr>
        <w:t>ственных и муниципальных услуг»;</w:t>
      </w:r>
    </w:p>
    <w:p w:rsidR="0081529F" w:rsidRDefault="00BF2A77" w:rsidP="00BF2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F2A77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F2A77">
          <w:rPr>
            <w:rStyle w:val="a6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BF2A77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F2A77" w:rsidRDefault="00BF2A77" w:rsidP="00BF2A77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подпункт 2.7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1.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04.04.2021 №34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BF2A77" w:rsidRPr="00BF2A77" w:rsidRDefault="00BF2A77" w:rsidP="00BF2A77">
      <w:pPr>
        <w:jc w:val="both"/>
        <w:rPr>
          <w:rStyle w:val="FontStyle57"/>
          <w:rFonts w:eastAsiaTheme="minorEastAsia"/>
          <w:i/>
          <w:sz w:val="20"/>
          <w:szCs w:val="20"/>
        </w:rPr>
      </w:pPr>
    </w:p>
    <w:p w:rsidR="0081529F" w:rsidRPr="0081529F" w:rsidRDefault="00CE18B2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1529F">
        <w:rPr>
          <w:rFonts w:ascii="Times New Roman" w:eastAsia="Times New Roman" w:hAnsi="Times New Roman"/>
          <w:sz w:val="28"/>
          <w:szCs w:val="28"/>
        </w:rPr>
        <w:lastRenderedPageBreak/>
        <w:t xml:space="preserve">2.8. </w:t>
      </w:r>
      <w:r w:rsidR="0081529F" w:rsidRPr="0081529F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81529F" w:rsidRPr="0081529F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1) обращение в орган местного самоуправления неуполномоченный</w:t>
      </w:r>
      <w:r w:rsidRPr="0081529F">
        <w:rPr>
          <w:rFonts w:ascii="Times New Roman" w:hAnsi="Times New Roman"/>
          <w:sz w:val="28"/>
          <w:szCs w:val="28"/>
        </w:rPr>
        <w:br/>
        <w:t>на выдачу разрешений на условно разрешенный вид использования земельного участка или объекта капитального строительства;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81529F" w:rsidRDefault="0081529F" w:rsidP="0081529F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29F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81529F" w:rsidRDefault="0081529F" w:rsidP="0081529F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2.8.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529F" w:rsidRPr="00F71307" w:rsidRDefault="0081529F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Pr="0081529F" w:rsidRDefault="00CE18B2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eastAsia="Times New Roman" w:hAnsi="Times New Roman"/>
          <w:sz w:val="28"/>
          <w:szCs w:val="28"/>
        </w:rPr>
        <w:t xml:space="preserve">2.9. </w:t>
      </w:r>
      <w:r w:rsidR="0081529F" w:rsidRPr="0081529F">
        <w:rPr>
          <w:rFonts w:ascii="Times New Roman" w:hAnsi="Times New Roman"/>
          <w:bCs/>
          <w:iCs/>
          <w:sz w:val="28"/>
          <w:szCs w:val="28"/>
        </w:rPr>
        <w:t>Основания для приостановления или отказа в предоставлении муниципальной услуги.</w:t>
      </w:r>
      <w:r w:rsidR="0081529F" w:rsidRPr="0081529F">
        <w:rPr>
          <w:rFonts w:ascii="Times New Roman" w:hAnsi="Times New Roman"/>
          <w:sz w:val="28"/>
          <w:szCs w:val="28"/>
        </w:rPr>
        <w:t xml:space="preserve"> 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 xml:space="preserve">2.9.1. </w:t>
      </w:r>
      <w:r w:rsidRPr="0081529F">
        <w:rPr>
          <w:rFonts w:ascii="Times New Roman" w:hAnsi="Times New Roman"/>
          <w:bCs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29F">
        <w:rPr>
          <w:rFonts w:ascii="Times New Roman" w:hAnsi="Times New Roman"/>
          <w:bCs/>
          <w:iCs/>
          <w:sz w:val="28"/>
          <w:szCs w:val="28"/>
        </w:rPr>
        <w:t>2.9.2. Основаниями для отказа в предоставлении муниципальной услуги является: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безопасности», Федерального закона от 30.12.2009 № 384-ФЗ «Технический регламент о безопасности зданий и сооружений» или требованиям иных технических регламентов;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1529F">
        <w:rPr>
          <w:rFonts w:ascii="Times New Roman" w:hAnsi="Times New Roman"/>
          <w:sz w:val="28"/>
          <w:szCs w:val="28"/>
        </w:rPr>
        <w:t>неуказание</w:t>
      </w:r>
      <w:proofErr w:type="spellEnd"/>
      <w:r w:rsidRPr="0081529F">
        <w:rPr>
          <w:rFonts w:ascii="Times New Roman" w:hAnsi="Times New Roman"/>
          <w:sz w:val="28"/>
          <w:szCs w:val="28"/>
        </w:rPr>
        <w:t xml:space="preserve"> или неполное указание в заявлении сведений, указанных</w:t>
      </w:r>
      <w:r w:rsidRPr="0081529F">
        <w:rPr>
          <w:rFonts w:ascii="Times New Roman" w:hAnsi="Times New Roman"/>
          <w:sz w:val="28"/>
          <w:szCs w:val="28"/>
        </w:rPr>
        <w:br/>
        <w:t>в подпункте 1 пункта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4) заявление содержит недостоверную информацию;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lastRenderedPageBreak/>
        <w:t>8) отсутствие документов, указанных в пунктах 2.6, 2.7 настоящего Административного регламента;</w:t>
      </w:r>
    </w:p>
    <w:p w:rsidR="0081529F" w:rsidRPr="0081529F" w:rsidRDefault="0081529F" w:rsidP="0081529F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29F">
        <w:rPr>
          <w:rFonts w:ascii="Times New Roman" w:hAnsi="Times New Roman"/>
          <w:sz w:val="28"/>
          <w:szCs w:val="28"/>
        </w:rPr>
        <w:t xml:space="preserve">9)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anchor="dst2783" w:history="1">
        <w:r w:rsidRPr="0081529F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1529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15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529F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81529F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1529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1529F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1529F" w:rsidRPr="0081529F" w:rsidRDefault="0081529F" w:rsidP="0081529F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81529F" w:rsidRDefault="0081529F" w:rsidP="0081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29F">
        <w:rPr>
          <w:rStyle w:val="FontStyle57"/>
          <w:rFonts w:eastAsia="Andale Sans UI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Фрунзенское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81529F" w:rsidRDefault="0081529F" w:rsidP="0081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пункты 2.9, 2.9.1, 2.9.2. .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529F" w:rsidRPr="003A5ED3" w:rsidRDefault="0081529F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E18B2" w:rsidRPr="003A5ED3" w:rsidRDefault="00CE18B2" w:rsidP="00CE18B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BF2A77" w:rsidRPr="00BF2A77" w:rsidRDefault="00BF2A77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A77">
        <w:rPr>
          <w:rFonts w:ascii="Times New Roman" w:hAnsi="Times New Roman" w:cs="Times New Roman"/>
          <w:sz w:val="28"/>
          <w:szCs w:val="28"/>
        </w:rPr>
        <w:t>2.21. Случаи и порядок предоставления муниципальной услуги в упреждающем (</w:t>
      </w:r>
      <w:proofErr w:type="spellStart"/>
      <w:r w:rsidRPr="00BF2A7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F2A77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BF2A77" w:rsidRDefault="00BF2A77" w:rsidP="00BF2A77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i/>
          <w:sz w:val="20"/>
          <w:szCs w:val="20"/>
        </w:rPr>
        <w:t>2.21.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04.04.2021 №34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CE18B2" w:rsidRPr="00F9643C" w:rsidRDefault="00CE18B2" w:rsidP="00F9643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CE18B2" w:rsidRPr="00044C79" w:rsidRDefault="00CE18B2" w:rsidP="00CE1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Default="0081529F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Pr="003A5ED3" w:rsidRDefault="0081529F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E18B2" w:rsidRPr="003A5ED3" w:rsidRDefault="00CE18B2" w:rsidP="008152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 наличие документов, указанных в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регламента.</w:t>
      </w:r>
    </w:p>
    <w:p w:rsidR="00CE18B2" w:rsidRPr="00D41E5A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20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D41E5A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41E5A">
        <w:rPr>
          <w:rFonts w:ascii="Times New Roman" w:hAnsi="Times New Roman" w:cs="Times New Roman"/>
          <w:sz w:val="28"/>
          <w:szCs w:val="28"/>
        </w:rPr>
        <w:t>5 – 3.45 настоящего Административного регламента.</w:t>
      </w:r>
    </w:p>
    <w:p w:rsidR="00CE18B2" w:rsidRPr="00065FE1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065FE1">
        <w:rPr>
          <w:rFonts w:ascii="Times New Roman" w:hAnsi="Times New Roman" w:cs="Times New Roman"/>
          <w:sz w:val="28"/>
          <w:szCs w:val="28"/>
        </w:rPr>
        <w:t xml:space="preserve">, переходит к осуществлению действий, предусмотренных </w:t>
      </w:r>
      <w:hyperlink r:id="rId22" w:history="1">
        <w:r w:rsidRPr="00065FE1">
          <w:rPr>
            <w:rFonts w:ascii="Times New Roman" w:hAnsi="Times New Roman" w:cs="Times New Roman"/>
            <w:sz w:val="28"/>
            <w:szCs w:val="28"/>
          </w:rPr>
          <w:t>пунктами 3.53</w:t>
        </w:r>
      </w:hyperlink>
      <w:r w:rsidRPr="00065FE1">
        <w:rPr>
          <w:rFonts w:ascii="Times New Roman" w:hAnsi="Times New Roman" w:cs="Times New Roman"/>
          <w:sz w:val="28"/>
          <w:szCs w:val="28"/>
        </w:rPr>
        <w:t xml:space="preserve"> -3.57 настоящего Административного регламента.</w:t>
      </w:r>
      <w:proofErr w:type="gramEnd"/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документов, предусмотренных </w:t>
      </w:r>
      <w:hyperlink r:id="rId23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6606D2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24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>3.29. Направление запросов осуществляется через систему межведомственного электронного взаимодействия.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5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3.30.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7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- проект постановления главы поселения о</w:t>
      </w:r>
      <w:r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3.31. Критерием принятия решения является наличие </w:t>
      </w:r>
      <w:hyperlink r:id="rId29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3.32.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главе поселения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CE18B2" w:rsidRPr="003A5ED3" w:rsidRDefault="00CE18B2" w:rsidP="00CE18B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Ответственными за выполнение административной процедуры являются должностное лицо Комиссии, глава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Глава поселения в 2-дневный срок со дня получения документов принимает решение о 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их проведении (далее – постановление главы поселения).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постановления главы поселения и его размещение на официальном сайте </w:t>
      </w:r>
      <w:r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 осуществляется не позднее 10 дней со дня получения главой поселения заявления и документов.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F2E96">
        <w:rPr>
          <w:rFonts w:ascii="Times New Roman" w:hAnsi="Times New Roman" w:cs="Times New Roman"/>
          <w:sz w:val="28"/>
          <w:szCs w:val="28"/>
        </w:rPr>
        <w:t>семь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 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2E96" w:rsidRPr="0081529F" w:rsidRDefault="0081529F" w:rsidP="0081529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>(</w:t>
      </w:r>
      <w:r w:rsidR="00EF2E96">
        <w:rPr>
          <w:rFonts w:ascii="Times New Roman" w:hAnsi="Times New Roman" w:cs="Times New Roman"/>
          <w:i/>
          <w:sz w:val="20"/>
          <w:szCs w:val="20"/>
        </w:rPr>
        <w:t xml:space="preserve">пункт 3.39 </w:t>
      </w:r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="00EF2E96"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 w:rsidR="00EF2E96">
        <w:rPr>
          <w:rFonts w:ascii="Times New Roman" w:hAnsi="Times New Roman" w:cs="Times New Roman"/>
          <w:i/>
          <w:sz w:val="20"/>
          <w:szCs w:val="20"/>
        </w:rPr>
        <w:t>04.03.2020</w:t>
      </w:r>
      <w:r w:rsidR="00EF2E96"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 w:rsidR="00EF2E96">
        <w:rPr>
          <w:rFonts w:ascii="Times New Roman" w:hAnsi="Times New Roman" w:cs="Times New Roman"/>
          <w:i/>
          <w:sz w:val="20"/>
          <w:szCs w:val="20"/>
        </w:rPr>
        <w:t>25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CF6F07" w:rsidRDefault="00CF6F07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30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3.52. Максимальный срок выполнения административной процедуры - не более 7 дней.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3.53.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  <w:proofErr w:type="gramEnd"/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уполномоченное на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81529F" w:rsidRDefault="0081529F" w:rsidP="0081529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9F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деятельности.</w:t>
      </w:r>
      <w:proofErr w:type="gramEnd"/>
    </w:p>
    <w:p w:rsidR="0081529F" w:rsidRDefault="0081529F" w:rsidP="0081529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 w:rsidR="0082694D">
        <w:rPr>
          <w:rFonts w:ascii="Times New Roman" w:hAnsi="Times New Roman" w:cs="Times New Roman"/>
          <w:i/>
          <w:sz w:val="20"/>
          <w:szCs w:val="20"/>
        </w:rPr>
        <w:t>3.57.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CE18B2" w:rsidRPr="003A5ED3" w:rsidRDefault="00CE18B2" w:rsidP="008269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E18B2" w:rsidRPr="003A5ED3" w:rsidRDefault="00CE18B2" w:rsidP="00CE18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CE18B2" w:rsidRPr="003A5ED3" w:rsidRDefault="00CE18B2" w:rsidP="00CE18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07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CF6F07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CF6F07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CF6F07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31" w:history="1">
        <w:r w:rsidRPr="00CF6F07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CF6F07" w:rsidRPr="00CF6F07" w:rsidRDefault="00CF6F07" w:rsidP="00CF6F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5.1. 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</w:t>
      </w:r>
      <w:r w:rsidRPr="00CF6F07">
        <w:rPr>
          <w:rFonts w:ascii="Times New Roman" w:hAnsi="Times New Roman" w:cs="Times New Roman"/>
          <w:sz w:val="28"/>
        </w:rPr>
        <w:lastRenderedPageBreak/>
        <w:t xml:space="preserve">муниципальной услуги, администрации, а также должностных лиц, муниципальных служащих </w:t>
      </w:r>
      <w:r w:rsidRPr="00CF6F0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2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CF6F07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pacing w:val="-6"/>
          <w:sz w:val="28"/>
        </w:rPr>
        <w:t>5.2</w:t>
      </w:r>
      <w:r w:rsidRPr="00CF6F07">
        <w:rPr>
          <w:rFonts w:ascii="Times New Roman" w:hAnsi="Times New Roman" w:cs="Times New Roman"/>
          <w:sz w:val="28"/>
        </w:rPr>
        <w:t>. 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33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CF6F07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CF6F07">
        <w:rPr>
          <w:rFonts w:ascii="Times New Roman" w:hAnsi="Times New Roman" w:cs="Times New Roman"/>
          <w:sz w:val="28"/>
        </w:rPr>
        <w:t>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CF6F07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34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Pr="00CF6F07">
        <w:rPr>
          <w:rFonts w:ascii="Times New Roman" w:hAnsi="Times New Roman" w:cs="Times New Roman"/>
          <w:sz w:val="28"/>
        </w:rPr>
        <w:t>Фрунзенское</w:t>
      </w:r>
      <w:r w:rsidRPr="00CF6F0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CF6F0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Pr="00CF6F07">
        <w:rPr>
          <w:rFonts w:ascii="Times New Roman" w:hAnsi="Times New Roman" w:cs="Times New Roman"/>
          <w:color w:val="000000"/>
          <w:sz w:val="28"/>
        </w:rPr>
        <w:t>Фрунзенское</w:t>
      </w:r>
      <w:r w:rsidRPr="00CF6F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CF6F07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35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CF6F07">
        <w:rPr>
          <w:rFonts w:ascii="Times New Roman" w:hAnsi="Times New Roman" w:cs="Times New Roman"/>
          <w:sz w:val="28"/>
        </w:rPr>
        <w:t>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</w:rPr>
        <w:lastRenderedPageBreak/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F6F0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CF6F07">
        <w:rPr>
          <w:rFonts w:ascii="Times New Roman" w:hAnsi="Times New Roman" w:cs="Times New Roman"/>
          <w:sz w:val="28"/>
        </w:rPr>
        <w:t>жалобой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37" w:history="1">
        <w:r w:rsidRPr="00CF6F07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6F07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F6F07" w:rsidRPr="00CF6F07" w:rsidRDefault="00CF6F07" w:rsidP="00CF6F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CF6F07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40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CF6F07">
        <w:rPr>
          <w:rFonts w:ascii="Times New Roman" w:hAnsi="Times New Roman" w:cs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41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0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10)</w:t>
      </w:r>
      <w:r w:rsidRPr="00CF6F07">
        <w:rPr>
          <w:rFonts w:ascii="Times New Roman" w:hAnsi="Times New Roman" w:cs="Times New Roman"/>
          <w:color w:val="1F497D"/>
        </w:rPr>
        <w:t xml:space="preserve"> </w:t>
      </w:r>
      <w:r w:rsidRPr="00CF6F0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F6F07" w:rsidRPr="00CF6F07" w:rsidRDefault="00CF6F07" w:rsidP="00CF6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CF6F07" w:rsidRPr="00CF6F07" w:rsidRDefault="00CF6F07" w:rsidP="001165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</w:t>
      </w:r>
      <w:r w:rsidR="0011651F">
        <w:rPr>
          <w:rFonts w:ascii="Times New Roman" w:hAnsi="Times New Roman" w:cs="Times New Roman"/>
          <w:sz w:val="28"/>
          <w:szCs w:val="28"/>
        </w:rPr>
        <w:t>бу не дается, не предусмотрены.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43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CF6F07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5.8. Жалоба должна содержать: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44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CF6F07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6F07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45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CF6F07">
        <w:rPr>
          <w:rFonts w:ascii="Times New Roman" w:hAnsi="Times New Roman" w:cs="Times New Roman"/>
          <w:sz w:val="28"/>
        </w:rPr>
        <w:t>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46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>услуг», их работников</w:t>
      </w:r>
      <w:r w:rsidRPr="00CF6F07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</w:t>
      </w:r>
      <w:r>
        <w:rPr>
          <w:rFonts w:ascii="Times New Roman" w:hAnsi="Times New Roman" w:cs="Times New Roman"/>
          <w:sz w:val="28"/>
        </w:rPr>
        <w:t>снования и рассмотрения жалобы.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Сроки рассмотрения жалобы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5.10. 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Жалоба, поступившая в администрацию,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7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CF6F07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8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F6F07">
        <w:rPr>
          <w:rFonts w:ascii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Default="00CF6F07" w:rsidP="00CF6F07">
      <w:pPr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CF6F07" w:rsidRPr="00CF6F07" w:rsidRDefault="00CF6F07" w:rsidP="00CF6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07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18B2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(раздел 5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Фрунзенское м.р. Большеглушицкий Самарской области от 20.05.2019 г. №51)</w:t>
      </w:r>
      <w:proofErr w:type="gramEnd"/>
    </w:p>
    <w:p w:rsidR="00CF6F07" w:rsidRDefault="00CF6F07" w:rsidP="00CF6F07">
      <w:pPr>
        <w:spacing w:line="360" w:lineRule="auto"/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116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1</w:t>
      </w: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 w:rsidR="009B545C"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CE18B2" w:rsidRPr="009B545C" w:rsidRDefault="00CE18B2" w:rsidP="00CE18B2">
      <w:pPr>
        <w:rPr>
          <w:rFonts w:ascii="Times New Roman" w:eastAsia="Times New Roman" w:hAnsi="Times New Roman" w:cs="Times New Roman"/>
          <w:b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9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 средств в местный бюджет.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2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CE18B2" w:rsidRPr="0074183B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45C">
        <w:rPr>
          <w:rFonts w:ascii="Times New Roman" w:eastAsia="Times New Roman" w:hAnsi="Times New Roman" w:cs="Times New Roman"/>
          <w:b/>
        </w:rPr>
        <w:t>Бланк уполномоченного органа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823D0D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E18B2" w:rsidRPr="003A5ED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CE18B2"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9B545C" w:rsidRPr="003A5ED3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B545C" w:rsidRPr="00D413FD" w:rsidRDefault="00CE18B2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9B545C" w:rsidRPr="00D413FD" w:rsidRDefault="009B545C" w:rsidP="009B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651F" w:rsidRDefault="0011651F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3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участка/объекта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4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07B45" w:rsidRP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307B45" w:rsidRPr="009B545C" w:rsidSect="00C153FA">
      <w:headerReference w:type="even" r:id="rId50"/>
      <w:headerReference w:type="default" r:id="rId51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29" w:rsidRDefault="00DE5729" w:rsidP="00935641">
      <w:r>
        <w:separator/>
      </w:r>
    </w:p>
  </w:endnote>
  <w:endnote w:type="continuationSeparator" w:id="0">
    <w:p w:rsidR="00DE5729" w:rsidRDefault="00DE5729" w:rsidP="009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29" w:rsidRDefault="00DE5729" w:rsidP="00935641">
      <w:r>
        <w:separator/>
      </w:r>
    </w:p>
  </w:footnote>
  <w:footnote w:type="continuationSeparator" w:id="0">
    <w:p w:rsidR="00DE5729" w:rsidRDefault="00DE5729" w:rsidP="0093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CB" w:rsidRDefault="00660BCB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60BCB" w:rsidRDefault="00660B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CB" w:rsidRDefault="00660BCB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F9643C">
      <w:rPr>
        <w:rStyle w:val="a9"/>
        <w:rFonts w:eastAsiaTheme="majorEastAsia"/>
        <w:noProof/>
      </w:rPr>
      <w:t>17</w:t>
    </w:r>
    <w:r>
      <w:rPr>
        <w:rStyle w:val="a9"/>
        <w:rFonts w:eastAsiaTheme="majorEastAsia"/>
      </w:rPr>
      <w:fldChar w:fldCharType="end"/>
    </w:r>
  </w:p>
  <w:p w:rsidR="00660BCB" w:rsidRDefault="00660B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1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5E42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C6E3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1651F"/>
    <w:rsid w:val="00121862"/>
    <w:rsid w:val="00126FC8"/>
    <w:rsid w:val="00127DC8"/>
    <w:rsid w:val="00132001"/>
    <w:rsid w:val="00132405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58F9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4ED"/>
    <w:rsid w:val="001C5A39"/>
    <w:rsid w:val="001C683B"/>
    <w:rsid w:val="001C6D90"/>
    <w:rsid w:val="001C739A"/>
    <w:rsid w:val="001C7803"/>
    <w:rsid w:val="001D09B1"/>
    <w:rsid w:val="001D512F"/>
    <w:rsid w:val="001D6F4F"/>
    <w:rsid w:val="001D768A"/>
    <w:rsid w:val="001D7BD9"/>
    <w:rsid w:val="001E009D"/>
    <w:rsid w:val="001E2802"/>
    <w:rsid w:val="001E399C"/>
    <w:rsid w:val="001E53B4"/>
    <w:rsid w:val="001E5419"/>
    <w:rsid w:val="001F22F6"/>
    <w:rsid w:val="001F29D9"/>
    <w:rsid w:val="001F44CD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4EEA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117F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77B94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2801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D89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5B2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3B6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ED3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141"/>
    <w:rsid w:val="004356B1"/>
    <w:rsid w:val="00436A32"/>
    <w:rsid w:val="004403BC"/>
    <w:rsid w:val="00440A50"/>
    <w:rsid w:val="00441C48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5A"/>
    <w:rsid w:val="00466895"/>
    <w:rsid w:val="00466C25"/>
    <w:rsid w:val="004676C3"/>
    <w:rsid w:val="00470318"/>
    <w:rsid w:val="0047089A"/>
    <w:rsid w:val="004711C4"/>
    <w:rsid w:val="00471C9C"/>
    <w:rsid w:val="00474597"/>
    <w:rsid w:val="00475D91"/>
    <w:rsid w:val="00475ED6"/>
    <w:rsid w:val="004771F5"/>
    <w:rsid w:val="00480CF1"/>
    <w:rsid w:val="00480D9F"/>
    <w:rsid w:val="00482DAB"/>
    <w:rsid w:val="0048527E"/>
    <w:rsid w:val="00485348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D7461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2C6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5FB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867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7E8"/>
    <w:rsid w:val="005D0AF1"/>
    <w:rsid w:val="005D0E89"/>
    <w:rsid w:val="005D273A"/>
    <w:rsid w:val="005D37F6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2DC8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0BCB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123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8EA"/>
    <w:rsid w:val="00760BA4"/>
    <w:rsid w:val="00761D20"/>
    <w:rsid w:val="007620B3"/>
    <w:rsid w:val="00764C49"/>
    <w:rsid w:val="00765DA7"/>
    <w:rsid w:val="007707DC"/>
    <w:rsid w:val="007713FC"/>
    <w:rsid w:val="00772A77"/>
    <w:rsid w:val="00780BDE"/>
    <w:rsid w:val="00781193"/>
    <w:rsid w:val="0078385D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4A62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4FA7"/>
    <w:rsid w:val="0081529F"/>
    <w:rsid w:val="00816F34"/>
    <w:rsid w:val="0082028E"/>
    <w:rsid w:val="00820EED"/>
    <w:rsid w:val="0082157A"/>
    <w:rsid w:val="00822BE5"/>
    <w:rsid w:val="00823D0D"/>
    <w:rsid w:val="00823F7B"/>
    <w:rsid w:val="00823FF0"/>
    <w:rsid w:val="00824679"/>
    <w:rsid w:val="008253EE"/>
    <w:rsid w:val="0082694D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1F69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556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3F66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35641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17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45C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3F6"/>
    <w:rsid w:val="00A84E9D"/>
    <w:rsid w:val="00A85252"/>
    <w:rsid w:val="00A85EB5"/>
    <w:rsid w:val="00A93912"/>
    <w:rsid w:val="00A941BC"/>
    <w:rsid w:val="00A94610"/>
    <w:rsid w:val="00A97909"/>
    <w:rsid w:val="00AA4056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38D"/>
    <w:rsid w:val="00AE5A4F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43A2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AA6"/>
    <w:rsid w:val="00BE7C79"/>
    <w:rsid w:val="00BE7D99"/>
    <w:rsid w:val="00BF0AEF"/>
    <w:rsid w:val="00BF2A6E"/>
    <w:rsid w:val="00BF2A77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3FA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C7ECB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18B2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6F07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3F7D"/>
    <w:rsid w:val="00D448DF"/>
    <w:rsid w:val="00D45BFD"/>
    <w:rsid w:val="00D536C8"/>
    <w:rsid w:val="00D53B46"/>
    <w:rsid w:val="00D564FD"/>
    <w:rsid w:val="00D57E68"/>
    <w:rsid w:val="00D60CFA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5729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DF7F83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1CCB"/>
    <w:rsid w:val="00E426B7"/>
    <w:rsid w:val="00E44F0A"/>
    <w:rsid w:val="00E465B9"/>
    <w:rsid w:val="00E46F81"/>
    <w:rsid w:val="00E47481"/>
    <w:rsid w:val="00E47775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9FC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2E96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541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49F7"/>
    <w:rsid w:val="00F75EF6"/>
    <w:rsid w:val="00F76500"/>
    <w:rsid w:val="00F765D6"/>
    <w:rsid w:val="00F770F4"/>
    <w:rsid w:val="00F77CB0"/>
    <w:rsid w:val="00F800BB"/>
    <w:rsid w:val="00F81A7C"/>
    <w:rsid w:val="00F81DA7"/>
    <w:rsid w:val="00F8378B"/>
    <w:rsid w:val="00F83B72"/>
    <w:rsid w:val="00F85DC0"/>
    <w:rsid w:val="00F86444"/>
    <w:rsid w:val="00F8665C"/>
    <w:rsid w:val="00F8723F"/>
    <w:rsid w:val="00F93C6A"/>
    <w:rsid w:val="00F953A5"/>
    <w:rsid w:val="00F96356"/>
    <w:rsid w:val="00F9643C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0BCB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660BC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0BCB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660BC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8" Type="http://schemas.openxmlformats.org/officeDocument/2006/relationships/hyperlink" Target="consultantplus://offline/ref=2AFB76D53056471481D18B5DFAA9BE2600D82729EBED48BA279097956A923408DF668D60E07C6255481AE0r6oDL" TargetMode="External"/><Relationship Id="rId26" Type="http://schemas.openxmlformats.org/officeDocument/2006/relationships/hyperlink" Target="consultantplus://offline/ref=08DCFB56152D4601461FAEC5B726B2A67F02D2F3260906490D4F95E1D7561ABB0CBA12934D30D662AE14E4iFwCL" TargetMode="External"/><Relationship Id="rId39" Type="http://schemas.openxmlformats.org/officeDocument/2006/relationships/hyperlink" Target="consultantplus://offline/ref=D306948517067C3F75BDC6CB5D86BF54A36208E8AF9B03BF46D4ACDB3C74C7D6B40ACAF48D29F3EBWCj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FB76D53056471481D18B5DFAA9BE2600D82729EBED48BA279097956A923408DF668D60E07C62554819E7r6o3L" TargetMode="External"/><Relationship Id="rId34" Type="http://schemas.openxmlformats.org/officeDocument/2006/relationships/hyperlink" Target="consultantplus://offline/ref=DB357B178F0A84F0F26746C6CE32720551A8BEBBE4D9A5615A1813E55B07A5C4A043B2B95B696647i6y5H" TargetMode="External"/><Relationship Id="rId42" Type="http://schemas.openxmlformats.org/officeDocument/2006/relationships/hyperlink" Target="consultantplus://offline/ref=8A4E37E76C2E6315FA5BCB36530BECA4EC61CD629280B95120003E6F51ABF5214D60621717C21C71jEq8G" TargetMode="External"/><Relationship Id="rId47" Type="http://schemas.openxmlformats.org/officeDocument/2006/relationships/hyperlink" Target="consultantplus://offline/ref=45386E710EFE9907324A2F352CD533A2CEDCA683658936C96713C0970CD822CDF2F3B9E19A5DC8D2e0m0H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2AFB76D53056471481D18B5DFAA9BE2600D82729EBED48BA279097956A923408DF668D60E07C62554818EBr6o7L" TargetMode="External"/><Relationship Id="rId25" Type="http://schemas.openxmlformats.org/officeDocument/2006/relationships/hyperlink" Target="consultantplus://offline/ref=DD7F78A033328B6D5F7B0640BE9B3B12F54FE231AD832894C17F8BA678G0Y8M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354E5E8F12DB748DBF625F782151121C6CB74966624E31C5217E156825DE94D7529FC8F7B1EEB879HFT8G" TargetMode="External"/><Relationship Id="rId46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2AFB76D53056471481D18B5DFAA9BE2600D82729EBED48BA279097956A923408DF668D60E07C6255481AE6r6o6L" TargetMode="External"/><Relationship Id="rId29" Type="http://schemas.openxmlformats.org/officeDocument/2006/relationships/hyperlink" Target="consultantplus://offline/ref=08DCFB56152D4601461FAEC5B726B2A67F02D2F3260906490D4F95E1D7561ABB0CBA12934D30D662AE14E4iFwCL" TargetMode="External"/><Relationship Id="rId41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2AFB76D53056471481D18B5DFAA9BE2600D82729EBED48BA279097956A923408DF668D60E07C6255481AE6r6o6L" TargetMode="External"/><Relationship Id="rId32" Type="http://schemas.openxmlformats.org/officeDocument/2006/relationships/hyperlink" Target="consultantplus://offline/ref=C18106DD17A2578ECECDC7B33FBFAFC94402DB7A1BD4BED897F6CD6C9AC4B99C1AF21E1F7D966A8Bp2kAG" TargetMode="External"/><Relationship Id="rId37" Type="http://schemas.openxmlformats.org/officeDocument/2006/relationships/hyperlink" Target="consultantplus://offline/ref=03A1775B91AA0E9794017FD69E136815CF67420087D04D49BD6B6C90E19921CB2CD662BE3CW6Q6G" TargetMode="External"/><Relationship Id="rId40" Type="http://schemas.openxmlformats.org/officeDocument/2006/relationships/hyperlink" Target="consultantplus://offline/ref=C18106DD17A2578ECECDC7B33FBFAFC94402DB7A1BD4BED897F6CD6C9AC4B99C1AF21E1F7D966A8Bp2kAG" TargetMode="External"/><Relationship Id="rId45" Type="http://schemas.openxmlformats.org/officeDocument/2006/relationships/hyperlink" Target="consultantplus://offline/ref=C2DFE5DE8505B1D92E2F24F50E24F8B2CBCB96A73485C0B7906F0F6A93F5658A062069724CEDABB0EDUBH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hyperlink" Target="consultantplus://offline/ref=2AFB76D53056471481D18B5DFAA9BE2600D82729EBED48BA279097956A923408DF668D60E07C6255481AE6r6o6L" TargetMode="External"/><Relationship Id="rId28" Type="http://schemas.openxmlformats.org/officeDocument/2006/relationships/hyperlink" Target="consultantplus://offline/ref=08DCFB56152D4601461FAEC5B726B2A67F02D2F3260906490D4F95E1D7561ABB0CBA12934D30D662AE16E9iFwDL" TargetMode="External"/><Relationship Id="rId36" Type="http://schemas.openxmlformats.org/officeDocument/2006/relationships/hyperlink" Target="consultantplus://offline/ref=BF0D6DE6B4A932EE603267A533A0A0F6ABBE8802488608F22565E26B72C8DE7E4B24A6BAF1DD9BB6S7L0H" TargetMode="External"/><Relationship Id="rId49" Type="http://schemas.openxmlformats.org/officeDocument/2006/relationships/hyperlink" Target="consultantplus://offline/ref=EA28C1D13CD1CEA3346381FBFB9A2D739ACE0DF0566BF6A2CF3AA0FB3FA357E141DF7B4C9701E1B916u2L" TargetMode="Externa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2AFB76D53056471481D18B5DFAA9BE2600D82729EBED48BA279097956A923408DF668D60E07C6255481AE6r6o6L" TargetMode="External"/><Relationship Id="rId31" Type="http://schemas.openxmlformats.org/officeDocument/2006/relationships/hyperlink" Target="consultantplus://offline/ref=C18106DD17A2578ECECDC7B33FBFAFC94402DB7A1BD4BED897F6CD6C9AC4B99C1AF21E1F7D966A8Bp2kAG" TargetMode="External"/><Relationship Id="rId44" Type="http://schemas.openxmlformats.org/officeDocument/2006/relationships/hyperlink" Target="consultantplus://offline/ref=BB71E6A3A0FBE152DCE4CACC23F882462748510EBFC687E6D057DE7E78125D6086BED12EAF988568lFS4H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2AFB76D53056471481D18B5DFAA9BE2600D82729EBED48BA279097956A923408DF668D60E07C62554819E5r6o5L" TargetMode="External"/><Relationship Id="rId27" Type="http://schemas.openxmlformats.org/officeDocument/2006/relationships/hyperlink" Target="consultantplus://offline/ref=08DCFB56152D4601461FAEC5B726B2A67F02D2F3260906490D4F95E1D7561ABB0CBA12934D30D662AE16EFiFw6L" TargetMode="External"/><Relationship Id="rId30" Type="http://schemas.openxmlformats.org/officeDocument/2006/relationships/hyperlink" Target="consultantplus://offline/ref=881CA125F874FB0B9B03D243A7A90C98CE77E74ABCD94169F57986B36B52971B1AF3122D6C6B6BB582917EuFD7F" TargetMode="External"/><Relationship Id="rId35" Type="http://schemas.openxmlformats.org/officeDocument/2006/relationships/hyperlink" Target="consultantplus://offline/ref=DB357B178F0A84F0F26746C6CE32720551A8BEBBE4D9A5615A1813E55B07A5C4A043B2B95B696647i6y5H" TargetMode="External"/><Relationship Id="rId43" Type="http://schemas.openxmlformats.org/officeDocument/2006/relationships/hyperlink" Target="consultantplus://offline/ref=DB357B178F0A84F0F26746C6CE32720551A8BEBBE4D9A5615A1813E55B07A5C4A043B2B95B696647i6y5H" TargetMode="External"/><Relationship Id="rId48" Type="http://schemas.openxmlformats.org/officeDocument/2006/relationships/hyperlink" Target="consultantplus://offline/ref=45386E710EFE9907324A2F352CD533A2CEDCA683658936C96713C0970CD822CDF2F3B9E19A5DC8D2e0m0H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6321-01F8-4331-BF4E-BE62F8E8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14872</Words>
  <Characters>84772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3</cp:revision>
  <cp:lastPrinted>2018-06-21T09:59:00Z</cp:lastPrinted>
  <dcterms:created xsi:type="dcterms:W3CDTF">2021-04-08T07:16:00Z</dcterms:created>
  <dcterms:modified xsi:type="dcterms:W3CDTF">2021-04-08T07:16:00Z</dcterms:modified>
</cp:coreProperties>
</file>