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31800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E31800">
        <w:rPr>
          <w:b/>
          <w:caps/>
          <w:sz w:val="20"/>
          <w:u w:val="single"/>
        </w:rPr>
        <w:t>декабря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31800">
        <w:rPr>
          <w:b/>
          <w:caps/>
          <w:sz w:val="20"/>
          <w:u w:val="single"/>
        </w:rPr>
        <w:t>143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Большеглушицкий Самарской области на 2021-2025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6531F7">
        <w:rPr>
          <w:sz w:val="28"/>
          <w:szCs w:val="28"/>
        </w:rPr>
        <w:t xml:space="preserve">                 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F44E89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E31800" w:rsidRPr="00D04243" w:rsidRDefault="00E31800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E31800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r w:rsidR="00E31800">
        <w:rPr>
          <w:color w:val="000000"/>
          <w:sz w:val="28"/>
          <w:szCs w:val="28"/>
        </w:rPr>
        <w:t>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</w:t>
      </w:r>
      <w:r w:rsidR="00E31800">
        <w:rPr>
          <w:b/>
        </w:rPr>
        <w:t>30</w:t>
      </w:r>
      <w:r w:rsidR="009F4118">
        <w:rPr>
          <w:b/>
        </w:rPr>
        <w:t xml:space="preserve">» </w:t>
      </w:r>
      <w:r w:rsidR="00E31800">
        <w:rPr>
          <w:b/>
          <w:u w:val="single"/>
        </w:rPr>
        <w:t>декабря</w:t>
      </w:r>
      <w:r w:rsidR="00386A58">
        <w:rPr>
          <w:b/>
        </w:rPr>
        <w:t xml:space="preserve"> </w:t>
      </w:r>
      <w:r w:rsidR="00BF59FB">
        <w:rPr>
          <w:b/>
        </w:rPr>
        <w:t>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31800">
        <w:rPr>
          <w:b/>
          <w:u w:val="single"/>
        </w:rPr>
        <w:t>143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B3366C" w:rsidP="00B3366C">
      <w:pPr>
        <w:jc w:val="right"/>
        <w:rPr>
          <w:b/>
        </w:rPr>
      </w:pPr>
      <w:r w:rsidRPr="00CA3C91">
        <w:rPr>
          <w:b/>
        </w:rPr>
        <w:t>Самарской области на 2021 – 2025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(га.);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</w:t>
            </w:r>
            <w:r w:rsidR="00386A58">
              <w:rPr>
                <w:sz w:val="28"/>
                <w:szCs w:val="28"/>
              </w:rPr>
              <w:t>сирования программы составляет 2</w:t>
            </w:r>
            <w:r w:rsidR="00E318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руб., из них   2021 год -</w:t>
            </w:r>
            <w:r w:rsidR="00386A58">
              <w:rPr>
                <w:sz w:val="28"/>
                <w:szCs w:val="28"/>
              </w:rPr>
              <w:t xml:space="preserve">  </w:t>
            </w:r>
            <w:r w:rsidR="00E31800">
              <w:rPr>
                <w:sz w:val="28"/>
                <w:szCs w:val="28"/>
              </w:rPr>
              <w:t xml:space="preserve">0 </w:t>
            </w:r>
            <w:r w:rsidR="00386A58">
              <w:rPr>
                <w:sz w:val="28"/>
                <w:szCs w:val="28"/>
              </w:rPr>
              <w:t xml:space="preserve"> руб.,  2022 год -  5,0 тыс. руб., 2023 год – 5</w:t>
            </w:r>
            <w:r>
              <w:rPr>
                <w:sz w:val="28"/>
                <w:szCs w:val="28"/>
              </w:rPr>
              <w:t>,0  тыс. руб., 2024</w:t>
            </w:r>
            <w:r w:rsidR="00386A58">
              <w:rPr>
                <w:sz w:val="28"/>
                <w:szCs w:val="28"/>
              </w:rPr>
              <w:t xml:space="preserve"> год –5,0  тыс. руб.,     2025 – 5</w:t>
            </w:r>
            <w:r>
              <w:rPr>
                <w:sz w:val="28"/>
                <w:szCs w:val="28"/>
              </w:rPr>
              <w:t>,0  тыс. руб.</w:t>
            </w:r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шицкий Самарской области на 2021-2025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CA3C91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Pr="00EE083F">
        <w:rPr>
          <w:b/>
        </w:rPr>
        <w:t>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</w:tblGrid>
      <w:tr w:rsidR="00B3366C" w:rsidRPr="003F02E6" w:rsidTr="0090647D">
        <w:tc>
          <w:tcPr>
            <w:tcW w:w="625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B3366C" w:rsidRPr="003F02E6" w:rsidTr="0090647D">
        <w:tc>
          <w:tcPr>
            <w:tcW w:w="625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Га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B3366C" w:rsidRPr="002308D4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>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386A58" w:rsidRDefault="00B3366C" w:rsidP="00386A58">
      <w:pPr>
        <w:snapToGrid w:val="0"/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 w:rsidR="00386A58">
        <w:rPr>
          <w:sz w:val="28"/>
          <w:szCs w:val="28"/>
        </w:rPr>
        <w:t>Объем финанс</w:t>
      </w:r>
      <w:r w:rsidR="00E31800">
        <w:rPr>
          <w:sz w:val="28"/>
          <w:szCs w:val="28"/>
        </w:rPr>
        <w:t>ирования программы составляет 20</w:t>
      </w:r>
      <w:r w:rsidR="00386A58">
        <w:rPr>
          <w:sz w:val="28"/>
          <w:szCs w:val="28"/>
        </w:rPr>
        <w:t xml:space="preserve">,0 тыс. руб., из них  </w:t>
      </w:r>
      <w:r w:rsidR="00E31800">
        <w:rPr>
          <w:sz w:val="28"/>
          <w:szCs w:val="28"/>
        </w:rPr>
        <w:t xml:space="preserve">                   2021 год -  0</w:t>
      </w:r>
      <w:r w:rsidR="00386A58">
        <w:rPr>
          <w:sz w:val="28"/>
          <w:szCs w:val="28"/>
        </w:rPr>
        <w:t xml:space="preserve"> руб.,  2022 год -  5,0 тыс. руб., 2023 год – 5,0  тыс. руб., 2024 год –5,0  тыс. руб.,     2025 – 5,0  тыс. руб.</w:t>
      </w:r>
    </w:p>
    <w:p w:rsidR="00B3366C" w:rsidRPr="00EF45F8" w:rsidRDefault="00B3366C" w:rsidP="00386A58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276"/>
        <w:gridCol w:w="992"/>
        <w:gridCol w:w="992"/>
        <w:gridCol w:w="993"/>
        <w:gridCol w:w="992"/>
        <w:gridCol w:w="992"/>
      </w:tblGrid>
      <w:tr w:rsidR="00B3366C" w:rsidRPr="00E2015A" w:rsidTr="009064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B3366C" w:rsidTr="0090647D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3366C" w:rsidRPr="009A5167" w:rsidTr="0090647D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0E0C06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6F5EAA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F78E5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386A58" w:rsidRPr="00CB2446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9834BF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58" w:rsidRPr="00C42FA8" w:rsidRDefault="00386A58" w:rsidP="00386A58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765D5F" w:rsidRDefault="00386A58" w:rsidP="00386A58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E31800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86A58" w:rsidRPr="002147B3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A54381" w:rsidRDefault="00E31800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86A5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E31800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</w:tr>
    </w:tbl>
    <w:p w:rsidR="00B3366C" w:rsidRDefault="00B3366C" w:rsidP="00B3366C">
      <w:pPr>
        <w:ind w:firstLine="720"/>
        <w:jc w:val="both"/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F7" w:rsidRDefault="00AC79F7" w:rsidP="00563ADD">
      <w:r>
        <w:separator/>
      </w:r>
    </w:p>
  </w:endnote>
  <w:endnote w:type="continuationSeparator" w:id="0">
    <w:p w:rsidR="00AC79F7" w:rsidRDefault="00AC79F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C79F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3FE8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AC79F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F7" w:rsidRDefault="00AC79F7" w:rsidP="00563ADD">
      <w:r>
        <w:separator/>
      </w:r>
    </w:p>
  </w:footnote>
  <w:footnote w:type="continuationSeparator" w:id="0">
    <w:p w:rsidR="00AC79F7" w:rsidRDefault="00AC79F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709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9F7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800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3FE8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7F9D01-3028-4393-BA81-D49E7CA6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2021-11-12T05:23:00Z</cp:lastPrinted>
  <dcterms:created xsi:type="dcterms:W3CDTF">2022-01-14T06:10:00Z</dcterms:created>
  <dcterms:modified xsi:type="dcterms:W3CDTF">2022-01-14T06:10:00Z</dcterms:modified>
</cp:coreProperties>
</file>