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2138D">
        <w:rPr>
          <w:b/>
          <w:caps/>
          <w:sz w:val="20"/>
          <w:u w:val="single"/>
        </w:rPr>
        <w:t>04</w:t>
      </w:r>
      <w:r>
        <w:rPr>
          <w:b/>
          <w:caps/>
          <w:sz w:val="20"/>
        </w:rPr>
        <w:t xml:space="preserve"> »  </w:t>
      </w:r>
      <w:r w:rsidR="0042138D">
        <w:rPr>
          <w:b/>
          <w:caps/>
          <w:sz w:val="20"/>
          <w:u w:val="single"/>
        </w:rPr>
        <w:t>мая</w:t>
      </w:r>
      <w:r w:rsidR="0042138D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2138D">
        <w:rPr>
          <w:b/>
          <w:caps/>
          <w:sz w:val="20"/>
          <w:u w:val="single"/>
        </w:rPr>
        <w:t>56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86244E">
        <w:rPr>
          <w:b/>
          <w:sz w:val="28"/>
          <w:szCs w:val="28"/>
        </w:rPr>
        <w:t xml:space="preserve"> на  2017-2023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86244E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86244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86244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86244E">
        <w:rPr>
          <w:sz w:val="28"/>
          <w:szCs w:val="28"/>
        </w:rPr>
        <w:t>амарской  области  на  2017-2023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Фрунзенские Вести 2018, 22 октября, №22(159)</w:t>
      </w:r>
      <w:r w:rsidR="00983C77">
        <w:rPr>
          <w:sz w:val="28"/>
          <w:szCs w:val="28"/>
        </w:rPr>
        <w:t>, Фрунзенские Вести 2018, 13 ноября, №25(162)</w:t>
      </w:r>
      <w:r w:rsidR="005B6A11">
        <w:rPr>
          <w:sz w:val="28"/>
          <w:szCs w:val="28"/>
        </w:rPr>
        <w:t>, Фрунзенские Вести 2018, 28 декабря, №30(167)</w:t>
      </w:r>
      <w:r w:rsidR="00E73AA4">
        <w:rPr>
          <w:sz w:val="28"/>
          <w:szCs w:val="28"/>
        </w:rPr>
        <w:t>, Фрунзенские Вести 2019, 28 июня, №19(186)</w:t>
      </w:r>
      <w:r w:rsidR="00CD6847">
        <w:rPr>
          <w:sz w:val="28"/>
          <w:szCs w:val="28"/>
        </w:rPr>
        <w:t>, Фрунзенские Вести 2019, 30 октября, №30(197)</w:t>
      </w:r>
      <w:r w:rsidR="004A387C">
        <w:rPr>
          <w:sz w:val="28"/>
          <w:szCs w:val="28"/>
        </w:rPr>
        <w:t>, Фрунзенские Вести 2019, 06</w:t>
      </w:r>
      <w:r w:rsidR="006146BC">
        <w:rPr>
          <w:sz w:val="28"/>
          <w:szCs w:val="28"/>
        </w:rPr>
        <w:t xml:space="preserve"> ноября, № 31(198)</w:t>
      </w:r>
      <w:r w:rsidR="00424FD4">
        <w:rPr>
          <w:sz w:val="28"/>
          <w:szCs w:val="28"/>
        </w:rPr>
        <w:t>,</w:t>
      </w:r>
      <w:r w:rsidR="00FA4568" w:rsidRPr="00FA4568">
        <w:rPr>
          <w:sz w:val="28"/>
          <w:szCs w:val="28"/>
        </w:rPr>
        <w:t xml:space="preserve"> </w:t>
      </w:r>
      <w:r w:rsidR="0086244E">
        <w:rPr>
          <w:sz w:val="28"/>
          <w:szCs w:val="28"/>
        </w:rPr>
        <w:t>Фрунзенские  В</w:t>
      </w:r>
      <w:r w:rsidR="00FA4568">
        <w:rPr>
          <w:sz w:val="28"/>
          <w:szCs w:val="28"/>
        </w:rPr>
        <w:t xml:space="preserve">ести 2020, </w:t>
      </w:r>
      <w:r w:rsidR="0086244E">
        <w:rPr>
          <w:sz w:val="28"/>
          <w:szCs w:val="28"/>
        </w:rPr>
        <w:t xml:space="preserve">                        </w:t>
      </w:r>
      <w:r w:rsidR="00FA4568">
        <w:rPr>
          <w:sz w:val="28"/>
          <w:szCs w:val="28"/>
        </w:rPr>
        <w:t>15 января, №2(207),</w:t>
      </w:r>
      <w:r w:rsidR="0086244E">
        <w:rPr>
          <w:sz w:val="28"/>
          <w:szCs w:val="28"/>
        </w:rPr>
        <w:t xml:space="preserve"> Фрунзенские В</w:t>
      </w:r>
      <w:r w:rsidR="00424FD4">
        <w:rPr>
          <w:sz w:val="28"/>
          <w:szCs w:val="28"/>
        </w:rPr>
        <w:t>ести 2020, 24 марта, №7(212)</w:t>
      </w:r>
      <w:r w:rsidR="0086244E">
        <w:rPr>
          <w:sz w:val="28"/>
          <w:szCs w:val="28"/>
        </w:rPr>
        <w:t xml:space="preserve">, </w:t>
      </w:r>
      <w:r w:rsidR="00CD6847">
        <w:rPr>
          <w:sz w:val="28"/>
          <w:szCs w:val="28"/>
        </w:rPr>
        <w:t xml:space="preserve"> </w:t>
      </w:r>
      <w:r w:rsidR="0086244E">
        <w:rPr>
          <w:sz w:val="28"/>
          <w:szCs w:val="28"/>
        </w:rPr>
        <w:t xml:space="preserve">Фрунзенские </w:t>
      </w:r>
      <w:r w:rsidR="0086244E">
        <w:rPr>
          <w:sz w:val="28"/>
          <w:szCs w:val="28"/>
        </w:rPr>
        <w:lastRenderedPageBreak/>
        <w:t>Вести 2020, 03 июля, №16(221)</w:t>
      </w:r>
      <w:r w:rsidR="00D06A64">
        <w:rPr>
          <w:sz w:val="28"/>
          <w:szCs w:val="28"/>
        </w:rPr>
        <w:t>,</w:t>
      </w:r>
      <w:r w:rsidR="00D06A64" w:rsidRPr="00D06A64">
        <w:rPr>
          <w:sz w:val="28"/>
          <w:szCs w:val="28"/>
        </w:rPr>
        <w:t xml:space="preserve"> </w:t>
      </w:r>
      <w:r w:rsidR="00D06A64">
        <w:rPr>
          <w:sz w:val="28"/>
          <w:szCs w:val="28"/>
        </w:rPr>
        <w:t>Фрунзенские Вести 2020, 12 ноября, №29(234)</w:t>
      </w:r>
      <w:r w:rsidR="0042138D">
        <w:rPr>
          <w:sz w:val="28"/>
          <w:szCs w:val="28"/>
        </w:rPr>
        <w:t>, Фрунзенские Вести 2021, 11 января, №1(238)</w:t>
      </w:r>
      <w:r w:rsidR="00D06A64">
        <w:rPr>
          <w:sz w:val="28"/>
          <w:szCs w:val="28"/>
        </w:rPr>
        <w:t xml:space="preserve"> </w:t>
      </w:r>
      <w:r w:rsidR="0086244E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957222" w:rsidRDefault="0086244E" w:rsidP="008624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4FD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24FD4" w:rsidRPr="00957222" w:rsidRDefault="00424FD4" w:rsidP="008624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817F11" w:rsidRDefault="00817F11" w:rsidP="008624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24FD4" w:rsidRDefault="00424FD4" w:rsidP="0086244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6146B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6146BC">
        <w:rPr>
          <w:color w:val="000000"/>
          <w:sz w:val="28"/>
          <w:szCs w:val="28"/>
        </w:rPr>
        <w:t>Ю.Н.Пищулин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2138D">
        <w:rPr>
          <w:b/>
        </w:rPr>
        <w:t>04</w:t>
      </w:r>
      <w:r w:rsidR="00D06A64">
        <w:rPr>
          <w:b/>
        </w:rPr>
        <w:t xml:space="preserve"> </w:t>
      </w:r>
      <w:r w:rsidR="0042138D">
        <w:rPr>
          <w:b/>
        </w:rPr>
        <w:t>мая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2138D">
        <w:rPr>
          <w:b/>
          <w:u w:val="single"/>
        </w:rPr>
        <w:t>56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 w:rsidR="00424FD4">
        <w:rPr>
          <w:b/>
          <w:i/>
          <w:sz w:val="32"/>
          <w:szCs w:val="32"/>
        </w:rPr>
        <w:t>23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</w:t>
            </w:r>
            <w:r w:rsidR="00424FD4">
              <w:rPr>
                <w:sz w:val="28"/>
                <w:szCs w:val="28"/>
              </w:rPr>
              <w:t>й Самарской области на 2017-2023</w:t>
            </w:r>
            <w:r>
              <w:rPr>
                <w:sz w:val="28"/>
                <w:szCs w:val="28"/>
              </w:rPr>
              <w:t xml:space="preserve">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Default="003463EC" w:rsidP="0025148B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E73AA4" w:rsidRPr="00A768D1" w:rsidRDefault="00E73AA4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424FD4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  <w:r w:rsidR="003463EC">
              <w:rPr>
                <w:sz w:val="28"/>
                <w:szCs w:val="28"/>
              </w:rPr>
              <w:t xml:space="preserve">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421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42138D">
              <w:rPr>
                <w:sz w:val="28"/>
                <w:szCs w:val="28"/>
              </w:rPr>
              <w:t>8077,9</w:t>
            </w:r>
            <w:r>
              <w:rPr>
                <w:sz w:val="28"/>
                <w:szCs w:val="28"/>
              </w:rPr>
              <w:t xml:space="preserve"> тыс.руб., в том числе 2017 год – </w:t>
            </w:r>
            <w:r w:rsidR="002F7973">
              <w:rPr>
                <w:sz w:val="28"/>
                <w:szCs w:val="28"/>
              </w:rPr>
              <w:t xml:space="preserve">742,8 тыс.руб.,  </w:t>
            </w:r>
            <w:r>
              <w:rPr>
                <w:sz w:val="28"/>
                <w:szCs w:val="28"/>
              </w:rPr>
              <w:t xml:space="preserve">2018 год – </w:t>
            </w:r>
            <w:r w:rsidR="00983C77">
              <w:rPr>
                <w:sz w:val="28"/>
                <w:szCs w:val="28"/>
              </w:rPr>
              <w:t>748,4</w:t>
            </w:r>
            <w:r>
              <w:rPr>
                <w:sz w:val="28"/>
                <w:szCs w:val="28"/>
              </w:rPr>
              <w:t xml:space="preserve"> тыс.руб., 2019 год – </w:t>
            </w:r>
            <w:r w:rsidR="006146BC">
              <w:rPr>
                <w:sz w:val="28"/>
                <w:szCs w:val="28"/>
              </w:rPr>
              <w:t>1145</w:t>
            </w:r>
            <w:r w:rsidR="00A4031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тыс.руб., 2020 год – </w:t>
            </w:r>
            <w:r w:rsidR="00D06A64">
              <w:rPr>
                <w:sz w:val="28"/>
                <w:szCs w:val="28"/>
              </w:rPr>
              <w:t>641,9</w:t>
            </w:r>
            <w:r>
              <w:rPr>
                <w:sz w:val="28"/>
                <w:szCs w:val="28"/>
              </w:rPr>
              <w:t xml:space="preserve"> тыс.руб., 2021 – </w:t>
            </w:r>
            <w:r w:rsidR="0086244E">
              <w:rPr>
                <w:sz w:val="28"/>
                <w:szCs w:val="28"/>
              </w:rPr>
              <w:t>1</w:t>
            </w:r>
            <w:r w:rsidR="0042138D">
              <w:rPr>
                <w:sz w:val="28"/>
                <w:szCs w:val="28"/>
              </w:rPr>
              <w:t>799,8</w:t>
            </w:r>
            <w:r w:rsidR="0086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2022 – </w:t>
            </w:r>
            <w:r w:rsidR="0086244E">
              <w:rPr>
                <w:sz w:val="28"/>
                <w:szCs w:val="28"/>
              </w:rPr>
              <w:t xml:space="preserve">1500,0 </w:t>
            </w:r>
            <w:r w:rsidR="00424FD4">
              <w:rPr>
                <w:sz w:val="28"/>
                <w:szCs w:val="28"/>
              </w:rPr>
              <w:t xml:space="preserve">тыс.руб, 2023 – </w:t>
            </w:r>
            <w:r w:rsidR="0086244E">
              <w:rPr>
                <w:sz w:val="28"/>
                <w:szCs w:val="28"/>
              </w:rPr>
              <w:t xml:space="preserve">1500,0 </w:t>
            </w:r>
            <w:r w:rsidR="00424FD4">
              <w:rPr>
                <w:sz w:val="28"/>
                <w:szCs w:val="28"/>
              </w:rPr>
              <w:t>тыс.руб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 w:rsidR="00424FD4">
              <w:rPr>
                <w:sz w:val="28"/>
                <w:szCs w:val="28"/>
              </w:rPr>
              <w:t>7-2023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</w:t>
            </w:r>
            <w:r w:rsidRPr="00B71611">
              <w:rPr>
                <w:sz w:val="28"/>
                <w:szCs w:val="28"/>
              </w:rPr>
              <w:lastRenderedPageBreak/>
              <w:t>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E73AA4" w:rsidRPr="00A768D1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</w:p>
        </w:tc>
      </w:tr>
      <w:tr w:rsidR="00E73AA4" w:rsidRPr="00A768D1" w:rsidTr="0025148B">
        <w:tc>
          <w:tcPr>
            <w:tcW w:w="2235" w:type="dxa"/>
          </w:tcPr>
          <w:p w:rsidR="00E73AA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lastRenderedPageBreak/>
              <w:t>Показ</w:t>
            </w:r>
            <w:r>
              <w:rPr>
                <w:sz w:val="28"/>
                <w:szCs w:val="28"/>
              </w:rPr>
              <w:t>атели (индикаторы)</w:t>
            </w:r>
          </w:p>
          <w:p w:rsidR="00E73AA4" w:rsidRPr="00A768D1" w:rsidRDefault="00E73AA4" w:rsidP="00E73AA4">
            <w:pPr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E73AA4" w:rsidRPr="00F3167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E73AA4" w:rsidRPr="00A768D1" w:rsidRDefault="00E73AA4" w:rsidP="00E73AA4">
            <w:pPr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C32999" w:rsidRDefault="003463EC" w:rsidP="00C32999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C32999" w:rsidRPr="00B33EB4" w:rsidRDefault="00C32999" w:rsidP="00C3299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</w:t>
      </w:r>
      <w:r w:rsidRPr="00ED5E46">
        <w:rPr>
          <w:rFonts w:eastAsia="Calibri"/>
          <w:sz w:val="28"/>
          <w:szCs w:val="28"/>
          <w:lang w:eastAsia="en-US"/>
        </w:rPr>
        <w:lastRenderedPageBreak/>
        <w:t>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C32999" w:rsidRPr="00C92C10" w:rsidRDefault="00C32999" w:rsidP="003463EC">
      <w:pPr>
        <w:pStyle w:val="justppt"/>
        <w:jc w:val="both"/>
        <w:rPr>
          <w:sz w:val="28"/>
          <w:szCs w:val="28"/>
        </w:rPr>
      </w:pP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424FD4">
        <w:rPr>
          <w:sz w:val="28"/>
          <w:szCs w:val="28"/>
        </w:rPr>
        <w:t>23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430DEE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 w:rsidR="00C32999">
        <w:rPr>
          <w:sz w:val="28"/>
          <w:szCs w:val="28"/>
        </w:rPr>
        <w:t xml:space="preserve"> и других явлений.</w:t>
      </w: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424FD4">
        <w:rPr>
          <w:sz w:val="28"/>
          <w:szCs w:val="28"/>
        </w:rPr>
        <w:t>: 2017 - 2023</w:t>
      </w:r>
      <w:r w:rsidR="00C32999">
        <w:rPr>
          <w:sz w:val="28"/>
          <w:szCs w:val="28"/>
        </w:rPr>
        <w:t xml:space="preserve"> годы.</w:t>
      </w:r>
    </w:p>
    <w:p w:rsidR="00C32999" w:rsidRDefault="00C32999" w:rsidP="003463EC">
      <w:pPr>
        <w:pStyle w:val="cenpt"/>
        <w:jc w:val="both"/>
        <w:rPr>
          <w:sz w:val="28"/>
          <w:szCs w:val="28"/>
        </w:rPr>
      </w:pP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2E88"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="00272E88" w:rsidRPr="00F31674">
        <w:rPr>
          <w:sz w:val="28"/>
          <w:szCs w:val="28"/>
        </w:rPr>
        <w:t>перечень имущества для субъектов МСП</w:t>
      </w:r>
      <w:r w:rsidR="00272E88"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A40310" w:rsidRDefault="003463EC" w:rsidP="00272E88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138D">
        <w:rPr>
          <w:sz w:val="28"/>
          <w:szCs w:val="28"/>
        </w:rPr>
        <w:t>8077,9 тыс.руб., в том числе 2017 год – 742,8 тыс.руб.,                          2018 год – 748,4 тыс.руб., 2019 год – 1145,0 тыс.руб., 2020 год – 641,9 тыс.руб.,            2021 – 1799,8 тыс.руб., 2022 – 1500,0 тыс.руб, 2023 – 1500,0 тыс.руб</w:t>
      </w:r>
      <w:r w:rsidR="00152803">
        <w:rPr>
          <w:sz w:val="28"/>
          <w:szCs w:val="28"/>
        </w:rPr>
        <w:t xml:space="preserve">.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272E88" w:rsidRPr="00B71611" w:rsidRDefault="00272E88" w:rsidP="00272E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272E88" w:rsidRPr="00B33EB4" w:rsidRDefault="00272E88" w:rsidP="00272E88">
      <w:pPr>
        <w:pStyle w:val="justppt"/>
        <w:jc w:val="both"/>
        <w:rPr>
          <w:sz w:val="28"/>
          <w:szCs w:val="28"/>
        </w:rPr>
      </w:pPr>
      <w:r w:rsidRPr="00B71611"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272E88" w:rsidRPr="002F0986" w:rsidRDefault="00272E88" w:rsidP="00272E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4F2E">
        <w:rPr>
          <w:rFonts w:eastAsia="Calibri"/>
          <w:b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986">
        <w:rPr>
          <w:b/>
          <w:sz w:val="28"/>
          <w:szCs w:val="28"/>
        </w:rPr>
        <w:t>Перечень показате</w:t>
      </w:r>
      <w:r>
        <w:rPr>
          <w:b/>
          <w:sz w:val="28"/>
          <w:szCs w:val="28"/>
        </w:rPr>
        <w:t xml:space="preserve">лей (индикаторов) </w:t>
      </w:r>
      <w:r w:rsidRPr="002F0986">
        <w:rPr>
          <w:b/>
          <w:sz w:val="28"/>
          <w:szCs w:val="28"/>
        </w:rPr>
        <w:t>программы</w:t>
      </w:r>
    </w:p>
    <w:p w:rsidR="00272E88" w:rsidRPr="002F0986" w:rsidRDefault="00272E88" w:rsidP="00272E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463EC" w:rsidRDefault="00272E88" w:rsidP="00272E88">
      <w:pPr>
        <w:pStyle w:val="righpt"/>
        <w:jc w:val="both"/>
      </w:pPr>
      <w:r>
        <w:rPr>
          <w:rFonts w:cs="Calibri"/>
          <w:sz w:val="28"/>
          <w:szCs w:val="28"/>
        </w:rPr>
        <w:t xml:space="preserve">     </w:t>
      </w:r>
      <w:r w:rsidRPr="002F0986">
        <w:rPr>
          <w:rFonts w:cs="Calibri"/>
          <w:sz w:val="28"/>
          <w:szCs w:val="28"/>
        </w:rPr>
        <w:t xml:space="preserve">Для оценки эффективности хода реализации Программы используются </w:t>
      </w:r>
      <w:hyperlink w:anchor="Par342" w:history="1">
        <w:r w:rsidRPr="002F0986">
          <w:rPr>
            <w:rFonts w:cs="Calibri"/>
            <w:sz w:val="28"/>
            <w:szCs w:val="28"/>
          </w:rPr>
          <w:t>показатели (индикаторы)</w:t>
        </w:r>
      </w:hyperlink>
      <w:r w:rsidRPr="002F0986">
        <w:rPr>
          <w:rFonts w:cs="Calibri"/>
          <w:sz w:val="28"/>
          <w:szCs w:val="28"/>
        </w:rPr>
        <w:t>, кот</w:t>
      </w:r>
      <w:r>
        <w:rPr>
          <w:rFonts w:cs="Calibri"/>
          <w:sz w:val="28"/>
          <w:szCs w:val="28"/>
        </w:rPr>
        <w:t>орые представлены в приложении 2 к настоящей</w:t>
      </w:r>
      <w:r w:rsidRPr="002F0986">
        <w:rPr>
          <w:rFonts w:cs="Calibri"/>
          <w:sz w:val="28"/>
          <w:szCs w:val="28"/>
        </w:rPr>
        <w:t xml:space="preserve"> программе.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righpt"/>
        <w:jc w:val="right"/>
      </w:pPr>
    </w:p>
    <w:p w:rsidR="00272E88" w:rsidRDefault="00272E88" w:rsidP="003463EC">
      <w:pPr>
        <w:pStyle w:val="cenpt"/>
        <w:jc w:val="center"/>
        <w:rPr>
          <w:rStyle w:val="ad"/>
        </w:rPr>
        <w:sectPr w:rsidR="00272E88" w:rsidSect="00430DE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1 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72E88" w:rsidRDefault="00D11209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272E8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72E88" w:rsidRPr="008F3C8B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</w:t>
      </w:r>
      <w:r w:rsidR="00D11209">
        <w:rPr>
          <w:rStyle w:val="ad"/>
        </w:rPr>
        <w:t>АМАРСКОЙ ОБЛАСТИ  НА 2017 – 2023</w:t>
      </w:r>
      <w:r>
        <w:rPr>
          <w:rStyle w:val="ad"/>
        </w:rPr>
        <w:t xml:space="preserve"> ГОДЫ»</w:t>
      </w:r>
    </w:p>
    <w:p w:rsidR="00272E88" w:rsidRDefault="00272E88" w:rsidP="00272E88">
      <w:pPr>
        <w:pStyle w:val="cenpt"/>
        <w:spacing w:before="0" w:beforeAutospacing="0" w:after="0" w:afterAutospacing="0"/>
      </w:pPr>
    </w:p>
    <w:tbl>
      <w:tblPr>
        <w:tblW w:w="16302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398"/>
        <w:gridCol w:w="4492"/>
        <w:gridCol w:w="1308"/>
        <w:gridCol w:w="888"/>
        <w:gridCol w:w="381"/>
        <w:gridCol w:w="611"/>
        <w:gridCol w:w="189"/>
        <w:gridCol w:w="804"/>
        <w:gridCol w:w="116"/>
        <w:gridCol w:w="920"/>
        <w:gridCol w:w="920"/>
        <w:gridCol w:w="920"/>
        <w:gridCol w:w="951"/>
      </w:tblGrid>
      <w:tr w:rsidR="00D11209" w:rsidRPr="002F0986" w:rsidTr="00D11209">
        <w:trPr>
          <w:tblCellSpacing w:w="5" w:type="nil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</w:t>
            </w:r>
            <w:r>
              <w:t xml:space="preserve"> </w:t>
            </w:r>
            <w:r w:rsidRPr="002F0986">
              <w:t>мероприятия</w:t>
            </w:r>
          </w:p>
        </w:tc>
        <w:tc>
          <w:tcPr>
            <w:tcW w:w="4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мероприятия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Срок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2F0986">
              <w:t>еализации</w:t>
            </w:r>
            <w:r>
              <w:t>, годы</w:t>
            </w:r>
          </w:p>
        </w:tc>
        <w:tc>
          <w:tcPr>
            <w:tcW w:w="6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F0986">
              <w:t>бъем финансирования по годам,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рублей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 xml:space="preserve"> </w:t>
            </w:r>
          </w:p>
        </w:tc>
      </w:tr>
      <w:tr w:rsidR="00D11209" w:rsidRPr="002F0986" w:rsidTr="00D11209">
        <w:trPr>
          <w:trHeight w:val="311"/>
          <w:tblCellSpacing w:w="5" w:type="nil"/>
        </w:trPr>
        <w:tc>
          <w:tcPr>
            <w:tcW w:w="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0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15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11209" w:rsidRPr="002F0986" w:rsidTr="00D11209">
        <w:trPr>
          <w:tblCellSpacing w:w="5" w:type="nil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A3131C" w:rsidRDefault="00D11209" w:rsidP="00E6795F">
            <w:pPr>
              <w:ind w:left="34"/>
              <w:jc w:val="center"/>
              <w:rPr>
                <w:color w:val="000000"/>
                <w:lang w:eastAsia="ar-SA"/>
              </w:rPr>
            </w:pPr>
            <w:r w:rsidRPr="00A3131C">
              <w:t xml:space="preserve">Задачи. </w:t>
            </w:r>
            <w:r w:rsidRPr="00A3131C">
              <w:rPr>
                <w:color w:val="000000"/>
                <w:lang w:eastAsia="ar-SA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rPr>
                <w:lang w:eastAsia="ar-SA"/>
              </w:rPr>
              <w:t xml:space="preserve"> сельского поселения </w:t>
            </w:r>
            <w:r w:rsidRPr="00A3131C">
              <w:rPr>
                <w:lang w:eastAsia="ar-SA"/>
              </w:rPr>
              <w:t>Фрунзенское</w:t>
            </w:r>
            <w:r w:rsidRPr="00A3131C">
              <w:rPr>
                <w:color w:val="000000"/>
                <w:lang w:eastAsia="ar-SA"/>
              </w:rPr>
              <w:t xml:space="preserve">  </w:t>
            </w:r>
            <w:r w:rsidRPr="00A3131C">
              <w:rPr>
                <w:lang w:eastAsia="ar-SA"/>
              </w:rPr>
              <w:t>муниципального района Большеглушицкий Самарской области.</w:t>
            </w:r>
          </w:p>
          <w:p w:rsidR="00D11209" w:rsidRPr="00A3131C" w:rsidRDefault="00D11209" w:rsidP="00E6795F">
            <w:pPr>
              <w:ind w:left="34"/>
              <w:jc w:val="center"/>
            </w:pPr>
            <w:r w:rsidRPr="00A3131C">
              <w:rPr>
                <w:color w:val="000000"/>
                <w:lang w:eastAsia="ar-SA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152803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716600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727100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00125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1135800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00125" w:rsidRDefault="00D06A64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612900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00125" w:rsidRDefault="0042138D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52803">
              <w:t>75000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Default="00152803">
            <w:r w:rsidRPr="00AB5756">
              <w:t>1475000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Default="00152803">
            <w:r w:rsidRPr="00AB5756">
              <w:t>1475000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Эксплуатация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B39A6">
              <w:t>емонт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 xml:space="preserve">муниципального района </w:t>
            </w:r>
            <w:r w:rsidRPr="002F0986">
              <w:lastRenderedPageBreak/>
              <w:t>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06A64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D11209">
              <w:t>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42138D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152803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25</w:t>
            </w:r>
            <w:r w:rsidR="00D11209">
              <w:t>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152803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25</w:t>
            </w:r>
            <w:r w:rsidR="00D11209">
              <w:t>000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15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области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152803" w:rsidP="00152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152803" w:rsidP="00152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76D">
              <w:rPr>
                <w:b/>
              </w:rPr>
              <w:t xml:space="preserve">ВСЕГО             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742800</w:t>
            </w:r>
          </w:p>
        </w:tc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748400</w:t>
            </w:r>
          </w:p>
        </w:tc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00125" w:rsidRDefault="00D11209" w:rsidP="00272E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1145000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00125" w:rsidRDefault="00D06A64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641900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42138D">
            <w:pPr>
              <w:rPr>
                <w:b/>
              </w:rPr>
            </w:pPr>
            <w:r>
              <w:rPr>
                <w:b/>
              </w:rPr>
              <w:t>1799800</w:t>
            </w:r>
          </w:p>
          <w:p w:rsidR="00870BD6" w:rsidRDefault="00870BD6"/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152803">
            <w:r>
              <w:rPr>
                <w:b/>
              </w:rPr>
              <w:t>15</w:t>
            </w:r>
            <w:r w:rsidR="00D11209" w:rsidRPr="006629E6">
              <w:rPr>
                <w:b/>
              </w:rPr>
              <w:t>00000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152803" w:rsidP="00C573F9">
            <w:r>
              <w:rPr>
                <w:b/>
              </w:rPr>
              <w:t>15</w:t>
            </w:r>
            <w:r w:rsidR="00D11209" w:rsidRPr="006629E6">
              <w:rPr>
                <w:b/>
              </w:rPr>
              <w:t>00000</w:t>
            </w:r>
          </w:p>
        </w:tc>
      </w:tr>
    </w:tbl>
    <w:p w:rsidR="00272E88" w:rsidRDefault="00272E88" w:rsidP="00272E8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lang w:val="en-US"/>
        </w:rPr>
        <w:sectPr w:rsidR="00272E88" w:rsidRPr="00200125" w:rsidSect="00200125">
          <w:pgSz w:w="16838" w:h="11906" w:orient="landscape"/>
          <w:pgMar w:top="567" w:right="680" w:bottom="851" w:left="567" w:header="709" w:footer="709" w:gutter="0"/>
          <w:cols w:space="708"/>
          <w:docGrid w:linePitch="360"/>
        </w:sectPr>
      </w:pPr>
    </w:p>
    <w:p w:rsidR="00272E88" w:rsidRPr="00200125" w:rsidRDefault="00272E88" w:rsidP="00272E88">
      <w:pPr>
        <w:spacing w:before="187" w:after="187"/>
        <w:rPr>
          <w:lang w:val="en-US"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272E88" w:rsidRPr="00CE57F6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CE57F6">
        <w:rPr>
          <w:rFonts w:cs="Calibri"/>
          <w:b/>
        </w:rPr>
        <w:t>Приложение 2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ind w:left="9639"/>
        <w:jc w:val="right"/>
        <w:rPr>
          <w:b/>
          <w:bCs/>
        </w:rPr>
      </w:pPr>
      <w:r w:rsidRPr="00200125">
        <w:rPr>
          <w:rFonts w:cs="Calibri"/>
          <w:b/>
          <w:sz w:val="26"/>
          <w:szCs w:val="26"/>
        </w:rPr>
        <w:t xml:space="preserve">к </w:t>
      </w:r>
      <w:r w:rsidRPr="00200125">
        <w:rPr>
          <w:b/>
          <w:bCs/>
        </w:rPr>
        <w:t>муниципальной программе «Повышение эффективности использования муниципального имущества сельского поселения Фрунзенское муниципального района Большеглушицки</w:t>
      </w:r>
      <w:r w:rsidR="00D11209">
        <w:rPr>
          <w:b/>
          <w:bCs/>
        </w:rPr>
        <w:t>й Самарской области на 2017-2023</w:t>
      </w:r>
      <w:r w:rsidRPr="00200125">
        <w:rPr>
          <w:b/>
          <w:bCs/>
        </w:rPr>
        <w:t xml:space="preserve">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>Перечень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200125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 w:rsidR="00D11209">
        <w:rPr>
          <w:b/>
          <w:bCs/>
        </w:rPr>
        <w:t>017-2023</w:t>
      </w:r>
      <w:r w:rsidRPr="00200125">
        <w:rPr>
          <w:b/>
          <w:bCs/>
        </w:rPr>
        <w:t xml:space="preserve">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15208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9590"/>
        <w:gridCol w:w="1156"/>
        <w:gridCol w:w="564"/>
        <w:gridCol w:w="564"/>
        <w:gridCol w:w="564"/>
        <w:gridCol w:w="564"/>
        <w:gridCol w:w="564"/>
        <w:gridCol w:w="564"/>
        <w:gridCol w:w="673"/>
      </w:tblGrid>
      <w:tr w:rsidR="00D11209" w:rsidRPr="002F0986" w:rsidTr="00D11209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Единица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измерения</w:t>
            </w:r>
          </w:p>
        </w:tc>
        <w:tc>
          <w:tcPr>
            <w:tcW w:w="40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Значение показателя (индикатора) по годам</w:t>
            </w:r>
          </w:p>
        </w:tc>
      </w:tr>
      <w:tr w:rsidR="00D11209" w:rsidRPr="002F0986" w:rsidTr="00D1120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Плановый период (прогноз)</w:t>
            </w:r>
          </w:p>
        </w:tc>
      </w:tr>
      <w:tr w:rsidR="00D11209" w:rsidRPr="002F0986" w:rsidTr="00D1120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D11209" w:rsidRPr="002F0986" w:rsidTr="00D735AE">
        <w:trPr>
          <w:trHeight w:val="360"/>
          <w:tblCellSpacing w:w="5" w:type="nil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57"/>
            <w:bookmarkEnd w:id="1"/>
            <w:r w:rsidRPr="002F0986">
              <w:rPr>
                <w:b/>
              </w:rPr>
              <w:t xml:space="preserve">Цель: </w:t>
            </w:r>
            <w:r w:rsidRPr="002F0986">
              <w:t xml:space="preserve">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D11209" w:rsidRPr="002F0986" w:rsidTr="00971DFC">
        <w:trPr>
          <w:trHeight w:val="472"/>
          <w:tblCellSpacing w:w="5" w:type="nil"/>
        </w:trPr>
        <w:tc>
          <w:tcPr>
            <w:tcW w:w="152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360"/>
            <w:bookmarkEnd w:id="2"/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D11209" w:rsidRPr="002F0986" w:rsidTr="00D11209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C573F9">
            <w:r w:rsidRPr="0078686A">
              <w:t>10%</w:t>
            </w:r>
          </w:p>
        </w:tc>
      </w:tr>
      <w:tr w:rsidR="00D11209" w:rsidRPr="002F0986" w:rsidTr="00D11209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80%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81%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C573F9">
            <w:pPr>
              <w:widowControl w:val="0"/>
              <w:autoSpaceDE w:val="0"/>
              <w:autoSpaceDN w:val="0"/>
              <w:adjustRightInd w:val="0"/>
            </w:pPr>
            <w:r>
              <w:t>82%</w:t>
            </w:r>
          </w:p>
        </w:tc>
      </w:tr>
    </w:tbl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sectPr w:rsidR="004F6A26" w:rsidRPr="00437DB8" w:rsidSect="00272E88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80" w:rsidRDefault="00825E80" w:rsidP="00563ADD">
      <w:r>
        <w:separator/>
      </w:r>
    </w:p>
  </w:endnote>
  <w:endnote w:type="continuationSeparator" w:id="0">
    <w:p w:rsidR="00825E80" w:rsidRDefault="00825E8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825E8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61F2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825E8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80" w:rsidRDefault="00825E80" w:rsidP="00563ADD">
      <w:r>
        <w:separator/>
      </w:r>
    </w:p>
  </w:footnote>
  <w:footnote w:type="continuationSeparator" w:id="0">
    <w:p w:rsidR="00825E80" w:rsidRDefault="00825E8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5E80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61F2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DE64AE-85E0-44C7-9A9B-4882A3E9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2021-05-04T05:12:00Z</cp:lastPrinted>
  <dcterms:created xsi:type="dcterms:W3CDTF">2021-05-14T09:47:00Z</dcterms:created>
  <dcterms:modified xsi:type="dcterms:W3CDTF">2021-05-14T09:47:00Z</dcterms:modified>
</cp:coreProperties>
</file>