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000FF">
        <w:rPr>
          <w:b/>
          <w:caps/>
          <w:sz w:val="20"/>
          <w:u w:val="single"/>
        </w:rPr>
        <w:t>02</w:t>
      </w:r>
      <w:r>
        <w:rPr>
          <w:b/>
          <w:caps/>
          <w:sz w:val="20"/>
        </w:rPr>
        <w:t xml:space="preserve"> »  </w:t>
      </w:r>
      <w:r w:rsidR="006000FF">
        <w:rPr>
          <w:b/>
          <w:caps/>
          <w:sz w:val="20"/>
          <w:u w:val="single"/>
        </w:rPr>
        <w:t>сентября</w:t>
      </w:r>
      <w:r w:rsidR="0042138D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000FF">
        <w:rPr>
          <w:b/>
          <w:caps/>
          <w:sz w:val="20"/>
          <w:u w:val="single"/>
        </w:rPr>
        <w:t>86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FD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146B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6146BC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705A84">
        <w:rPr>
          <w:b/>
        </w:rPr>
        <w:t xml:space="preserve">«02» </w:t>
      </w:r>
      <w:r w:rsidR="00D06A64">
        <w:rPr>
          <w:b/>
        </w:rPr>
        <w:t xml:space="preserve"> </w:t>
      </w:r>
      <w:r w:rsidR="00705A84" w:rsidRPr="00705A84">
        <w:rPr>
          <w:b/>
          <w:u w:val="single"/>
        </w:rPr>
        <w:t>сентября</w:t>
      </w:r>
      <w:r w:rsidR="0042138D">
        <w:rPr>
          <w:b/>
        </w:rPr>
        <w:t xml:space="preserve">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705A84">
        <w:rPr>
          <w:b/>
          <w:u w:val="single"/>
        </w:rPr>
        <w:t>86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7B4721" w:rsidRDefault="00705A84" w:rsidP="007B4721">
      <w:pPr>
        <w:rPr>
          <w:b/>
          <w:caps/>
          <w:sz w:val="28"/>
          <w:szCs w:val="28"/>
          <w:lang w:val="en-US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7B4721" w:rsidRDefault="00705A84" w:rsidP="00FF53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7B4721" w:rsidRPr="007B4721">
              <w:rPr>
                <w:sz w:val="28"/>
                <w:szCs w:val="28"/>
              </w:rPr>
              <w:t>7929</w:t>
            </w:r>
            <w:r>
              <w:rPr>
                <w:sz w:val="28"/>
                <w:szCs w:val="28"/>
              </w:rPr>
              <w:t>,8 тыс.руб., из них   2021 – 17</w:t>
            </w:r>
            <w:r w:rsidR="007B4721" w:rsidRPr="007B47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9,8 тыс.руб., 2022 – 1500,0 тыс.руб, 2023 – 1500,0 тыс.руб, 2024 – 1600,0 тыс. руб, 2025 – 1600,0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  <w:lang w:val="en-US"/>
        </w:rPr>
      </w:pPr>
    </w:p>
    <w:p w:rsidR="007B4721" w:rsidRPr="007B4721" w:rsidRDefault="007B4721" w:rsidP="00705A84">
      <w:pPr>
        <w:pStyle w:val="justppt"/>
        <w:jc w:val="center"/>
        <w:rPr>
          <w:b/>
          <w:sz w:val="28"/>
          <w:szCs w:val="28"/>
          <w:lang w:val="en-US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705A84" w:rsidRPr="00AE3C39" w:rsidRDefault="00705A84" w:rsidP="00705A84">
      <w:pPr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7B4721" w:rsidRPr="007B4721">
        <w:rPr>
          <w:sz w:val="28"/>
          <w:szCs w:val="28"/>
        </w:rPr>
        <w:t>7929</w:t>
      </w:r>
      <w:r>
        <w:rPr>
          <w:sz w:val="28"/>
          <w:szCs w:val="28"/>
        </w:rPr>
        <w:t>,8 тыс. руб., из них</w:t>
      </w:r>
    </w:p>
    <w:p w:rsidR="00705A84" w:rsidRPr="00AE3C39" w:rsidRDefault="00705A84" w:rsidP="00705A84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2021 – 17</w:t>
      </w:r>
      <w:r w:rsidR="007B4721">
        <w:rPr>
          <w:sz w:val="28"/>
          <w:szCs w:val="28"/>
          <w:lang w:val="en-US"/>
        </w:rPr>
        <w:t>29</w:t>
      </w:r>
      <w:r w:rsidRPr="00AE3C39">
        <w:rPr>
          <w:sz w:val="28"/>
          <w:szCs w:val="28"/>
        </w:rPr>
        <w:t xml:space="preserve">,8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AE3C39">
        <w:rPr>
          <w:sz w:val="28"/>
          <w:szCs w:val="28"/>
        </w:rPr>
        <w:t xml:space="preserve">. </w:t>
      </w:r>
    </w:p>
    <w:p w:rsidR="00705A84" w:rsidRPr="00AE3C39" w:rsidRDefault="00705A84" w:rsidP="00705A84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2022 – 1500,0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705A84" w:rsidRPr="00AE3C39" w:rsidRDefault="00705A84" w:rsidP="00705A84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2023 – 1500,0 </w:t>
      </w:r>
      <w:r>
        <w:rPr>
          <w:sz w:val="28"/>
          <w:szCs w:val="28"/>
        </w:rPr>
        <w:t>тыс</w:t>
      </w:r>
      <w:r w:rsidRPr="00AE3C39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705A84" w:rsidRPr="00EF45F8" w:rsidRDefault="00705A84" w:rsidP="00705A84">
      <w:pPr>
        <w:jc w:val="both"/>
        <w:rPr>
          <w:sz w:val="28"/>
          <w:szCs w:val="28"/>
        </w:rPr>
      </w:pPr>
      <w:r w:rsidRPr="00AE3C39">
        <w:rPr>
          <w:sz w:val="28"/>
          <w:szCs w:val="28"/>
        </w:rPr>
        <w:t xml:space="preserve">  </w:t>
      </w:r>
      <w:r w:rsidRPr="00EF45F8">
        <w:rPr>
          <w:sz w:val="28"/>
          <w:szCs w:val="28"/>
        </w:rPr>
        <w:t xml:space="preserve">2024 – 1600,0 </w:t>
      </w:r>
      <w:r>
        <w:rPr>
          <w:sz w:val="28"/>
          <w:szCs w:val="28"/>
        </w:rPr>
        <w:t>тыс</w:t>
      </w:r>
      <w:r w:rsidRPr="00EF45F8">
        <w:rPr>
          <w:sz w:val="28"/>
          <w:szCs w:val="28"/>
        </w:rPr>
        <w:t xml:space="preserve">. </w:t>
      </w:r>
      <w:r>
        <w:rPr>
          <w:sz w:val="28"/>
          <w:szCs w:val="28"/>
        </w:rPr>
        <w:t>руб.</w:t>
      </w:r>
    </w:p>
    <w:p w:rsidR="00705A84" w:rsidRPr="00EF45F8" w:rsidRDefault="00705A84" w:rsidP="00705A84">
      <w:pPr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2025 – 1600,0 </w:t>
      </w:r>
      <w:r>
        <w:rPr>
          <w:sz w:val="28"/>
          <w:szCs w:val="28"/>
        </w:rPr>
        <w:t>тыс</w:t>
      </w:r>
      <w:r w:rsidRPr="00EF45F8">
        <w:rPr>
          <w:sz w:val="28"/>
          <w:szCs w:val="28"/>
        </w:rPr>
        <w:t xml:space="preserve">. </w:t>
      </w:r>
      <w:r>
        <w:rPr>
          <w:sz w:val="28"/>
          <w:szCs w:val="28"/>
        </w:rPr>
        <w:t>руб</w:t>
      </w:r>
      <w:r w:rsidRPr="00EF45F8">
        <w:rPr>
          <w:sz w:val="28"/>
          <w:szCs w:val="28"/>
        </w:rPr>
        <w:t>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4721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>
              <w:rPr>
                <w:rFonts w:cs="Calibri"/>
                <w:lang w:val="en-US"/>
              </w:rPr>
              <w:t>0</w:t>
            </w:r>
            <w:r w:rsidR="00705A84" w:rsidRPr="001B2A11">
              <w:rPr>
                <w:rFonts w:cs="Calibri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1475000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1475000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1570000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1570000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24800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4721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>
              <w:rPr>
                <w:rFonts w:cs="Calibri"/>
                <w:lang w:val="en-US"/>
              </w:rPr>
              <w:t>2</w:t>
            </w:r>
            <w:r w:rsidR="00705A84" w:rsidRPr="001B2A11">
              <w:rPr>
                <w:rFonts w:cs="Calibri"/>
              </w:rPr>
              <w:t>9800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1500000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1500000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1600000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1600000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E8" w:rsidRDefault="00E912E8" w:rsidP="00563ADD">
      <w:r>
        <w:separator/>
      </w:r>
    </w:p>
  </w:endnote>
  <w:endnote w:type="continuationSeparator" w:id="0">
    <w:p w:rsidR="00E912E8" w:rsidRDefault="00E912E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912E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431D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E912E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E8" w:rsidRDefault="00E912E8" w:rsidP="00563ADD">
      <w:r>
        <w:separator/>
      </w:r>
    </w:p>
  </w:footnote>
  <w:footnote w:type="continuationSeparator" w:id="0">
    <w:p w:rsidR="00E912E8" w:rsidRDefault="00E912E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31D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2E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4C95D6-196E-4737-A96F-F0C2D916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2021-05-04T05:12:00Z</cp:lastPrinted>
  <dcterms:created xsi:type="dcterms:W3CDTF">2021-09-02T10:51:00Z</dcterms:created>
  <dcterms:modified xsi:type="dcterms:W3CDTF">2021-09-02T10:51:00Z</dcterms:modified>
</cp:coreProperties>
</file>