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F1E34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DF1E34">
        <w:rPr>
          <w:b/>
          <w:caps/>
          <w:sz w:val="20"/>
          <w:u w:val="single"/>
        </w:rPr>
        <w:t>сентября</w:t>
      </w:r>
      <w:r w:rsidR="00FE26BA">
        <w:rPr>
          <w:b/>
          <w:caps/>
          <w:sz w:val="20"/>
          <w:u w:val="single"/>
        </w:rPr>
        <w:t xml:space="preserve"> </w:t>
      </w:r>
      <w:r w:rsidR="00DF1E34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F1E34">
        <w:rPr>
          <w:b/>
          <w:caps/>
          <w:sz w:val="20"/>
          <w:u w:val="single"/>
        </w:rPr>
        <w:t>44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b/>
          <w:sz w:val="28"/>
          <w:szCs w:val="28"/>
        </w:rPr>
        <w:t>й Самарской области на 2013-2018</w:t>
      </w:r>
      <w:r w:rsidR="00076202">
        <w:rPr>
          <w:b/>
          <w:sz w:val="28"/>
          <w:szCs w:val="28"/>
        </w:rPr>
        <w:t xml:space="preserve"> годы»</w:t>
      </w:r>
    </w:p>
    <w:p w:rsidR="00D04243" w:rsidRDefault="00D04243" w:rsidP="004F6A26">
      <w:pPr>
        <w:ind w:firstLine="360"/>
        <w:jc w:val="center"/>
        <w:rPr>
          <w:sz w:val="28"/>
          <w:szCs w:val="28"/>
        </w:rPr>
      </w:pPr>
    </w:p>
    <w:p w:rsidR="00FE26BA" w:rsidRPr="00D04243" w:rsidRDefault="00FE26BA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FE26BA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4F6A26" w:rsidP="00FE26BA">
      <w:pPr>
        <w:spacing w:line="360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sz w:val="28"/>
          <w:szCs w:val="28"/>
        </w:rPr>
        <w:t>й Самарской области на 2013-2018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957222" w:rsidRDefault="00FE26BA" w:rsidP="00FE26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E26BA" w:rsidRPr="00957222" w:rsidRDefault="00FE26BA" w:rsidP="00FE26BA">
      <w:pPr>
        <w:spacing w:line="360" w:lineRule="auto"/>
        <w:ind w:firstLine="567"/>
        <w:jc w:val="both"/>
        <w:rPr>
          <w:sz w:val="28"/>
          <w:szCs w:val="28"/>
        </w:rPr>
      </w:pPr>
    </w:p>
    <w:p w:rsidR="004F6A26" w:rsidRDefault="00D04243" w:rsidP="00FE26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FE26BA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FE26BA" w:rsidRPr="00957222" w:rsidRDefault="00FE26BA" w:rsidP="00FE26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957222" w:rsidRDefault="00D04243" w:rsidP="00FE26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FE26BA">
        <w:rPr>
          <w:color w:val="000000"/>
          <w:sz w:val="28"/>
          <w:szCs w:val="28"/>
        </w:rPr>
        <w:t xml:space="preserve"> и распространяется на правоотношения, возникшие с 04.12.2015 года.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F1E34">
        <w:rPr>
          <w:b/>
        </w:rPr>
        <w:t>30</w:t>
      </w:r>
      <w:r w:rsidR="00FE26BA">
        <w:rPr>
          <w:b/>
        </w:rPr>
        <w:t xml:space="preserve"> </w:t>
      </w:r>
      <w:r w:rsidR="00DF1E34">
        <w:rPr>
          <w:b/>
        </w:rPr>
        <w:t>сентября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F1E34">
        <w:rPr>
          <w:b/>
        </w:rPr>
        <w:t>44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>
        <w:rPr>
          <w:b/>
          <w:i/>
          <w:sz w:val="32"/>
          <w:szCs w:val="32"/>
        </w:rPr>
        <w:t>САМАРСКОЙ ОБЛАСТИ НА 2013 – 2018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</w:t>
      </w:r>
      <w:proofErr w:type="gramEnd"/>
      <w:r w:rsidRPr="001855BA">
        <w:rPr>
          <w:rStyle w:val="ad"/>
          <w:b w:val="0"/>
          <w:sz w:val="28"/>
          <w:szCs w:val="28"/>
        </w:rPr>
        <w:t>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2013-2018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lastRenderedPageBreak/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FE26BA">
              <w:rPr>
                <w:sz w:val="28"/>
                <w:szCs w:val="28"/>
              </w:rPr>
              <w:t>1413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F1E34">
              <w:rPr>
                <w:sz w:val="28"/>
                <w:szCs w:val="28"/>
              </w:rPr>
              <w:t>792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Pr="00551A64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2013-2018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E36BCF">
        <w:rPr>
          <w:sz w:val="28"/>
          <w:szCs w:val="28"/>
        </w:rPr>
        <w:t xml:space="preserve"> период 2013 – 2018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Pr="00E34D0C">
        <w:rPr>
          <w:sz w:val="28"/>
          <w:szCs w:val="28"/>
        </w:rPr>
        <w:t xml:space="preserve"> год)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2018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</w:tblGrid>
      <w:tr w:rsidR="00E36BCF" w:rsidRPr="00E36BCF" w:rsidTr="001A2810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2126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6572" w:type="dxa"/>
            <w:gridSpan w:val="7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E36BCF" w:rsidRPr="00E36BCF" w:rsidTr="00E36BCF">
        <w:trPr>
          <w:cantSplit/>
          <w:jc w:val="center"/>
        </w:trPr>
        <w:tc>
          <w:tcPr>
            <w:tcW w:w="343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2018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142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</w:tblGrid>
      <w:tr w:rsidR="00E36BCF" w:rsidRPr="00E36BCF" w:rsidTr="00E555E5">
        <w:trPr>
          <w:tblHeader/>
          <w:jc w:val="center"/>
        </w:trPr>
        <w:tc>
          <w:tcPr>
            <w:tcW w:w="361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 w:val="restart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E36BCF" w:rsidRPr="00E36BCF" w:rsidRDefault="00E555E5" w:rsidP="00627D1A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FE26BA" w:rsidRPr="00E36BCF" w:rsidRDefault="00FE26BA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</w:tcPr>
          <w:p w:rsidR="00FE26BA" w:rsidRPr="00E36BCF" w:rsidRDefault="00FE26BA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FE26BA" w:rsidRPr="00E36BCF" w:rsidRDefault="00FE26BA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FE26BA" w:rsidRPr="00E36BCF" w:rsidRDefault="00FE26BA" w:rsidP="00627D1A">
            <w:pPr>
              <w:spacing w:line="226" w:lineRule="auto"/>
            </w:pPr>
          </w:p>
        </w:tc>
        <w:tc>
          <w:tcPr>
            <w:tcW w:w="2268" w:type="dxa"/>
          </w:tcPr>
          <w:p w:rsidR="00FE26BA" w:rsidRPr="00E36BCF" w:rsidRDefault="00FE26BA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FE26BA" w:rsidRPr="00E36BCF" w:rsidRDefault="00FE26BA" w:rsidP="00627D1A"/>
          <w:p w:rsidR="00FE26BA" w:rsidRPr="00E36BCF" w:rsidRDefault="00FE26BA" w:rsidP="00627D1A">
            <w:pPr>
              <w:jc w:val="center"/>
            </w:pPr>
          </w:p>
        </w:tc>
        <w:tc>
          <w:tcPr>
            <w:tcW w:w="1134" w:type="dxa"/>
          </w:tcPr>
          <w:p w:rsidR="00FE26BA" w:rsidRPr="00E36BCF" w:rsidRDefault="00FE26BA" w:rsidP="00627D1A">
            <w:pPr>
              <w:jc w:val="center"/>
            </w:pPr>
            <w:r>
              <w:t>30</w:t>
            </w:r>
          </w:p>
          <w:p w:rsidR="00FE26BA" w:rsidRPr="00E36BCF" w:rsidRDefault="00FE26BA" w:rsidP="00627D1A">
            <w:pPr>
              <w:jc w:val="center"/>
            </w:pPr>
          </w:p>
        </w:tc>
        <w:tc>
          <w:tcPr>
            <w:tcW w:w="1134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E555E5" w:rsidRPr="00E36BCF" w:rsidTr="00E555E5">
        <w:trPr>
          <w:cantSplit/>
          <w:jc w:val="center"/>
        </w:trPr>
        <w:tc>
          <w:tcPr>
            <w:tcW w:w="361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E555E5" w:rsidRPr="00E36BCF" w:rsidRDefault="00E555E5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555E5" w:rsidRPr="00E36BCF" w:rsidRDefault="00E555E5" w:rsidP="00627D1A">
            <w:pPr>
              <w:spacing w:line="226" w:lineRule="auto"/>
            </w:pP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E555E5" w:rsidRPr="00E36BCF" w:rsidRDefault="00E555E5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E555E5" w:rsidRPr="00E36BCF" w:rsidRDefault="00E555E5" w:rsidP="00627D1A"/>
          <w:p w:rsidR="00E555E5" w:rsidRPr="00E36BCF" w:rsidRDefault="00E555E5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555E5" w:rsidRPr="00E36BCF" w:rsidRDefault="00E555E5" w:rsidP="00627D1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</w:tr>
      <w:tr w:rsidR="00E555E5" w:rsidRPr="00E36BCF" w:rsidTr="00E555E5">
        <w:trPr>
          <w:cantSplit/>
          <w:jc w:val="center"/>
        </w:trPr>
        <w:tc>
          <w:tcPr>
            <w:tcW w:w="361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555E5" w:rsidRPr="00E36BCF" w:rsidRDefault="00E555E5" w:rsidP="00627D1A">
            <w:pPr>
              <w:spacing w:line="226" w:lineRule="auto"/>
            </w:pP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тыс. руб</w:t>
            </w:r>
            <w:r w:rsidR="00393A42">
              <w:t>лей</w:t>
            </w:r>
          </w:p>
        </w:tc>
        <w:tc>
          <w:tcPr>
            <w:tcW w:w="1134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FE26BA" w:rsidRPr="00E36BCF" w:rsidRDefault="00FE26BA" w:rsidP="00627D1A">
            <w:pPr>
              <w:spacing w:line="226" w:lineRule="auto"/>
            </w:pP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FE26BA" w:rsidRDefault="00FE26BA" w:rsidP="00627D1A">
            <w:pPr>
              <w:spacing w:line="226" w:lineRule="auto"/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FE26BA" w:rsidRPr="00E36BCF" w:rsidRDefault="00DF1E34" w:rsidP="00627D1A">
            <w:pPr>
              <w:spacing w:line="226" w:lineRule="auto"/>
              <w:jc w:val="center"/>
            </w:pPr>
            <w:r>
              <w:t>790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393A42" w:rsidRPr="00E36BCF" w:rsidTr="00E555E5">
        <w:trPr>
          <w:jc w:val="center"/>
        </w:trPr>
        <w:tc>
          <w:tcPr>
            <w:tcW w:w="7023" w:type="dxa"/>
            <w:gridSpan w:val="4"/>
          </w:tcPr>
          <w:p w:rsidR="00393A42" w:rsidRPr="00E36BCF" w:rsidRDefault="00393A42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393A42" w:rsidRPr="00E36BCF" w:rsidRDefault="00393A42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393A42" w:rsidRPr="00E36BCF" w:rsidRDefault="001F3603" w:rsidP="00627D1A">
            <w:pPr>
              <w:spacing w:line="233" w:lineRule="auto"/>
              <w:jc w:val="center"/>
            </w:pPr>
            <w:r>
              <w:t>2520</w:t>
            </w:r>
          </w:p>
        </w:tc>
        <w:tc>
          <w:tcPr>
            <w:tcW w:w="1134" w:type="dxa"/>
          </w:tcPr>
          <w:p w:rsidR="00393A42" w:rsidRPr="00E36BCF" w:rsidRDefault="001F3603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393A42" w:rsidRPr="00E36BCF" w:rsidRDefault="001F3603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393A42" w:rsidRPr="00E36BCF" w:rsidRDefault="001F3603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393A42" w:rsidRPr="00E36BCF" w:rsidRDefault="00DF1E34" w:rsidP="00627D1A">
            <w:pPr>
              <w:spacing w:line="233" w:lineRule="auto"/>
              <w:jc w:val="center"/>
            </w:pPr>
            <w:r>
              <w:t>792</w:t>
            </w:r>
            <w:bookmarkStart w:id="0" w:name="_GoBack"/>
            <w:bookmarkEnd w:id="0"/>
          </w:p>
        </w:tc>
        <w:tc>
          <w:tcPr>
            <w:tcW w:w="850" w:type="dxa"/>
          </w:tcPr>
          <w:p w:rsidR="00393A42" w:rsidRPr="00E36BCF" w:rsidRDefault="00FE26BA" w:rsidP="00627D1A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93A42" w:rsidRPr="00E36BCF" w:rsidRDefault="00FE26BA" w:rsidP="00627D1A">
            <w:pPr>
              <w:spacing w:line="233" w:lineRule="auto"/>
              <w:jc w:val="center"/>
            </w:pPr>
            <w:r>
              <w:t>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6" w:rsidRDefault="006B5DB6" w:rsidP="00563ADD">
      <w:r>
        <w:separator/>
      </w:r>
    </w:p>
  </w:endnote>
  <w:endnote w:type="continuationSeparator" w:id="0">
    <w:p w:rsidR="006B5DB6" w:rsidRDefault="006B5DB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B5DB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E34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6B5DB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6" w:rsidRDefault="006B5DB6" w:rsidP="00563ADD">
      <w:r>
        <w:separator/>
      </w:r>
    </w:p>
  </w:footnote>
  <w:footnote w:type="continuationSeparator" w:id="0">
    <w:p w:rsidR="006B5DB6" w:rsidRDefault="006B5DB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16C8BD-665C-4692-95BA-C0B320E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2014-10-28T10:32:00Z</cp:lastPrinted>
  <dcterms:created xsi:type="dcterms:W3CDTF">2016-10-17T07:30:00Z</dcterms:created>
  <dcterms:modified xsi:type="dcterms:W3CDTF">2016-10-17T07:30:00Z</dcterms:modified>
</cp:coreProperties>
</file>