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53133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D53133">
        <w:rPr>
          <w:b/>
          <w:caps/>
          <w:sz w:val="20"/>
          <w:u w:val="single"/>
        </w:rPr>
        <w:t>декабря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53133">
        <w:rPr>
          <w:b/>
          <w:caps/>
          <w:sz w:val="20"/>
          <w:u w:val="single"/>
        </w:rPr>
        <w:t>9</w:t>
      </w:r>
      <w:r w:rsidR="007F728C">
        <w:rPr>
          <w:b/>
          <w:caps/>
          <w:sz w:val="20"/>
          <w:u w:val="single"/>
        </w:rPr>
        <w:t>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6F7823" w:rsidRPr="006F7823">
        <w:rPr>
          <w:color w:val="000000"/>
          <w:sz w:val="28"/>
          <w:szCs w:val="28"/>
        </w:rPr>
        <w:t xml:space="preserve"> </w:t>
      </w:r>
      <w:r w:rsidR="006F7823">
        <w:rPr>
          <w:color w:val="000000"/>
          <w:sz w:val="28"/>
          <w:szCs w:val="28"/>
        </w:rPr>
        <w:t>и распространяется н</w:t>
      </w:r>
      <w:r w:rsidR="00D53133">
        <w:rPr>
          <w:color w:val="000000"/>
          <w:sz w:val="28"/>
          <w:szCs w:val="28"/>
        </w:rPr>
        <w:t>а правоотношения, возникшие с 22.12</w:t>
      </w:r>
      <w:r w:rsidR="006F7823">
        <w:rPr>
          <w:color w:val="000000"/>
          <w:sz w:val="28"/>
          <w:szCs w:val="28"/>
        </w:rPr>
        <w:t xml:space="preserve">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6F7823">
      <w:pPr>
        <w:rPr>
          <w:b/>
        </w:rPr>
      </w:pPr>
    </w:p>
    <w:p w:rsidR="00D53133" w:rsidRDefault="00D53133" w:rsidP="006F7823">
      <w:pPr>
        <w:rPr>
          <w:b/>
        </w:rPr>
      </w:pPr>
    </w:p>
    <w:p w:rsidR="00D53133" w:rsidRDefault="00D53133" w:rsidP="006F7823">
      <w:pPr>
        <w:rPr>
          <w:b/>
        </w:rPr>
      </w:pPr>
    </w:p>
    <w:p w:rsidR="00D53133" w:rsidRDefault="00D53133" w:rsidP="006F7823">
      <w:pPr>
        <w:rPr>
          <w:b/>
        </w:rPr>
      </w:pPr>
    </w:p>
    <w:p w:rsidR="00D53133" w:rsidRDefault="00D53133" w:rsidP="006F7823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53133">
        <w:rPr>
          <w:b/>
        </w:rPr>
        <w:t>29</w:t>
      </w:r>
      <w:r w:rsidR="001E5F1E">
        <w:rPr>
          <w:b/>
        </w:rPr>
        <w:t xml:space="preserve"> </w:t>
      </w:r>
      <w:r w:rsidR="00D53133">
        <w:rPr>
          <w:b/>
        </w:rPr>
        <w:t xml:space="preserve">декабря </w:t>
      </w:r>
      <w:r w:rsidR="00DB70E3">
        <w:rPr>
          <w:b/>
        </w:rPr>
        <w:t>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53133">
        <w:rPr>
          <w:b/>
          <w:u w:val="single"/>
        </w:rPr>
        <w:t>99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413DD7" w:rsidRPr="00413DD7">
              <w:rPr>
                <w:sz w:val="28"/>
                <w:szCs w:val="28"/>
              </w:rPr>
              <w:t>1245</w:t>
            </w:r>
            <w:r w:rsidRPr="006A75CC">
              <w:rPr>
                <w:sz w:val="28"/>
                <w:szCs w:val="28"/>
              </w:rPr>
              <w:t xml:space="preserve">,5 тыс. рублей, в том числе по годам: 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="00413DD7">
              <w:rPr>
                <w:sz w:val="28"/>
                <w:szCs w:val="28"/>
                <w:lang w:val="en-US"/>
              </w:rPr>
              <w:t>860</w:t>
            </w:r>
            <w:r w:rsidRPr="006A75CC">
              <w:rPr>
                <w:sz w:val="28"/>
                <w:szCs w:val="28"/>
              </w:rPr>
              <w:t>,5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A17DD2">
              <w:rPr>
                <w:sz w:val="28"/>
                <w:szCs w:val="28"/>
              </w:rPr>
              <w:t>135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2021 год –  70,0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1B41ED" w:rsidRPr="001B41ED">
        <w:rPr>
          <w:sz w:val="28"/>
          <w:szCs w:val="28"/>
        </w:rPr>
        <w:t>1245</w:t>
      </w:r>
      <w:r>
        <w:rPr>
          <w:sz w:val="28"/>
          <w:szCs w:val="28"/>
        </w:rPr>
        <w:t>,5 тысяч рублей, в том числе по годам: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="001B41ED">
        <w:rPr>
          <w:sz w:val="28"/>
          <w:szCs w:val="28"/>
          <w:lang w:val="en-US"/>
        </w:rPr>
        <w:t>860</w:t>
      </w:r>
      <w:r w:rsidRPr="006A75CC">
        <w:rPr>
          <w:sz w:val="28"/>
          <w:szCs w:val="28"/>
        </w:rPr>
        <w:t>,5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A17DD2">
        <w:rPr>
          <w:sz w:val="28"/>
          <w:szCs w:val="28"/>
        </w:rPr>
        <w:t>135</w:t>
      </w:r>
      <w:r w:rsidRPr="006A75CC">
        <w:rPr>
          <w:sz w:val="28"/>
          <w:szCs w:val="28"/>
        </w:rPr>
        <w:t>,0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2021 год –  70,0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</w:p>
    <w:p w:rsidR="007F728C" w:rsidRPr="00AE58FA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Механизм реализации и основные  направления Программы</w:t>
      </w: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276"/>
        <w:gridCol w:w="851"/>
        <w:gridCol w:w="850"/>
        <w:gridCol w:w="851"/>
        <w:gridCol w:w="850"/>
        <w:gridCol w:w="851"/>
        <w:gridCol w:w="850"/>
      </w:tblGrid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321BF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C5" w:rsidRDefault="007A2BC5" w:rsidP="00563ADD">
      <w:r>
        <w:separator/>
      </w:r>
    </w:p>
  </w:endnote>
  <w:endnote w:type="continuationSeparator" w:id="0">
    <w:p w:rsidR="007A2BC5" w:rsidRDefault="007A2BC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A2BC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C54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7A2BC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C5" w:rsidRDefault="007A2BC5" w:rsidP="00563ADD">
      <w:r>
        <w:separator/>
      </w:r>
    </w:p>
  </w:footnote>
  <w:footnote w:type="continuationSeparator" w:id="0">
    <w:p w:rsidR="007A2BC5" w:rsidRDefault="007A2BC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0C54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2BC5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043F10-4883-40CA-A13D-65C1A073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2017-11-09T05:42:00Z</cp:lastPrinted>
  <dcterms:created xsi:type="dcterms:W3CDTF">2018-01-18T10:08:00Z</dcterms:created>
  <dcterms:modified xsi:type="dcterms:W3CDTF">2018-01-18T10:08:00Z</dcterms:modified>
</cp:coreProperties>
</file>