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1C3563">
        <w:rPr>
          <w:b/>
          <w:caps/>
          <w:sz w:val="20"/>
          <w:u w:val="single"/>
        </w:rPr>
        <w:t>14</w:t>
      </w:r>
      <w:r>
        <w:rPr>
          <w:b/>
          <w:caps/>
          <w:sz w:val="20"/>
        </w:rPr>
        <w:t xml:space="preserve"> »  </w:t>
      </w:r>
      <w:r w:rsidR="0071521E">
        <w:rPr>
          <w:b/>
          <w:caps/>
          <w:sz w:val="20"/>
          <w:u w:val="single"/>
        </w:rPr>
        <w:t>ноября</w:t>
      </w:r>
      <w:r w:rsidR="0078337A">
        <w:rPr>
          <w:b/>
          <w:caps/>
          <w:sz w:val="20"/>
        </w:rPr>
        <w:t xml:space="preserve"> 2022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1C3563">
        <w:rPr>
          <w:b/>
          <w:caps/>
          <w:sz w:val="20"/>
          <w:u w:val="single"/>
        </w:rPr>
        <w:t>98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00FF">
        <w:rPr>
          <w:b/>
          <w:sz w:val="28"/>
          <w:szCs w:val="28"/>
        </w:rPr>
        <w:t>13</w:t>
      </w:r>
      <w:r w:rsidR="00DF66E4">
        <w:rPr>
          <w:b/>
          <w:sz w:val="28"/>
          <w:szCs w:val="28"/>
        </w:rPr>
        <w:t>.</w:t>
      </w:r>
      <w:r w:rsidR="006000FF">
        <w:rPr>
          <w:b/>
          <w:sz w:val="28"/>
          <w:szCs w:val="28"/>
        </w:rPr>
        <w:t xml:space="preserve">07.2021  № </w:t>
      </w:r>
      <w:r w:rsidR="00705A84">
        <w:rPr>
          <w:b/>
          <w:sz w:val="28"/>
          <w:szCs w:val="28"/>
        </w:rPr>
        <w:t>71</w:t>
      </w:r>
      <w:r w:rsidR="006000FF">
        <w:rPr>
          <w:b/>
          <w:sz w:val="28"/>
          <w:szCs w:val="28"/>
        </w:rPr>
        <w:t xml:space="preserve"> 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6000FF">
        <w:rPr>
          <w:b/>
          <w:sz w:val="28"/>
          <w:szCs w:val="28"/>
        </w:rPr>
        <w:t xml:space="preserve"> на  2021-2025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6000FF">
      <w:pPr>
        <w:spacing w:line="276" w:lineRule="auto"/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6000FF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6000FF" w:rsidRDefault="004F6A26" w:rsidP="006000FF">
      <w:pPr>
        <w:spacing w:line="276" w:lineRule="auto"/>
        <w:ind w:firstLine="360"/>
        <w:jc w:val="both"/>
        <w:rPr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</w:t>
      </w:r>
      <w:r w:rsidR="00957222" w:rsidRPr="006000FF">
        <w:rPr>
          <w:sz w:val="28"/>
          <w:szCs w:val="28"/>
        </w:rPr>
        <w:t xml:space="preserve">от </w:t>
      </w:r>
      <w:r w:rsidR="006000FF" w:rsidRPr="006000FF">
        <w:rPr>
          <w:sz w:val="28"/>
          <w:szCs w:val="28"/>
        </w:rPr>
        <w:t xml:space="preserve">13.07.2021  № </w:t>
      </w:r>
      <w:r w:rsidR="00705A84">
        <w:rPr>
          <w:sz w:val="28"/>
          <w:szCs w:val="28"/>
        </w:rPr>
        <w:t>71</w:t>
      </w:r>
      <w:r w:rsidR="006000FF" w:rsidRPr="006000FF">
        <w:rPr>
          <w:sz w:val="28"/>
          <w:szCs w:val="28"/>
        </w:rPr>
        <w:t xml:space="preserve"> 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Самарской  области  на  2021-2025 годы»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</w:t>
      </w:r>
      <w:r w:rsidR="006000FF">
        <w:rPr>
          <w:sz w:val="28"/>
          <w:szCs w:val="28"/>
        </w:rPr>
        <w:t xml:space="preserve"> Вести 2021, 15 июля, №18</w:t>
      </w:r>
      <w:r w:rsidR="00075136">
        <w:rPr>
          <w:sz w:val="28"/>
          <w:szCs w:val="28"/>
        </w:rPr>
        <w:t>(</w:t>
      </w:r>
      <w:r w:rsidR="006000FF">
        <w:rPr>
          <w:sz w:val="28"/>
          <w:szCs w:val="28"/>
        </w:rPr>
        <w:t>255</w:t>
      </w:r>
      <w:r w:rsidR="00075136">
        <w:rPr>
          <w:sz w:val="28"/>
          <w:szCs w:val="28"/>
        </w:rPr>
        <w:t>)</w:t>
      </w:r>
      <w:r w:rsidR="002F7973" w:rsidRPr="002F7973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424FD4" w:rsidRPr="006000FF" w:rsidRDefault="0086244E" w:rsidP="006000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04BA0">
        <w:rPr>
          <w:sz w:val="28"/>
          <w:szCs w:val="28"/>
        </w:rPr>
        <w:t xml:space="preserve">. Приложение </w:t>
      </w:r>
      <w:r w:rsidR="00424FD4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6000FF" w:rsidRDefault="006000FF" w:rsidP="006000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 вступает в силу со дня его подписания.   </w:t>
      </w:r>
    </w:p>
    <w:p w:rsidR="00424FD4" w:rsidRDefault="00424FD4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000FF" w:rsidRDefault="006000FF" w:rsidP="006000F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6146BC" w:rsidRDefault="006146BC" w:rsidP="004F6A26">
      <w:pPr>
        <w:jc w:val="both"/>
        <w:rPr>
          <w:color w:val="000000"/>
          <w:sz w:val="28"/>
          <w:szCs w:val="28"/>
        </w:rPr>
      </w:pPr>
    </w:p>
    <w:p w:rsidR="004F6A26" w:rsidRDefault="001C356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1C3563">
        <w:rPr>
          <w:color w:val="000000"/>
          <w:sz w:val="28"/>
          <w:szCs w:val="28"/>
        </w:rPr>
        <w:t>Ю.Н.Пищулин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582FBA">
        <w:rPr>
          <w:b/>
        </w:rPr>
        <w:t>«</w:t>
      </w:r>
      <w:r w:rsidR="001C3563">
        <w:rPr>
          <w:b/>
        </w:rPr>
        <w:t>14</w:t>
      </w:r>
      <w:r w:rsidR="00705A84">
        <w:rPr>
          <w:b/>
        </w:rPr>
        <w:t xml:space="preserve">» </w:t>
      </w:r>
      <w:r w:rsidR="00D06A64">
        <w:rPr>
          <w:b/>
        </w:rPr>
        <w:t xml:space="preserve"> </w:t>
      </w:r>
      <w:r w:rsidR="0071521E">
        <w:rPr>
          <w:b/>
          <w:u w:val="single"/>
        </w:rPr>
        <w:t>ноября</w:t>
      </w:r>
      <w:r w:rsidR="0078337A">
        <w:rPr>
          <w:b/>
        </w:rPr>
        <w:t xml:space="preserve"> 2022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1C3563">
        <w:rPr>
          <w:b/>
          <w:u w:val="single"/>
        </w:rPr>
        <w:t>98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705A84" w:rsidRPr="00D04243" w:rsidRDefault="00FF7693" w:rsidP="00705A84">
      <w:pPr>
        <w:ind w:firstLine="360"/>
        <w:jc w:val="right"/>
        <w:rPr>
          <w:b/>
        </w:rPr>
      </w:pPr>
      <w:r>
        <w:rPr>
          <w:b/>
        </w:rPr>
        <w:t>«</w:t>
      </w:r>
      <w:r w:rsidR="00705A84">
        <w:rPr>
          <w:b/>
        </w:rPr>
        <w:t xml:space="preserve">Приложение </w:t>
      </w:r>
      <w:r w:rsidR="00705A84" w:rsidRPr="00D04243">
        <w:rPr>
          <w:b/>
        </w:rPr>
        <w:t>1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>
        <w:rPr>
          <w:b/>
          <w:color w:val="000000"/>
        </w:rPr>
        <w:t>остановлению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</w:rPr>
        <w:t>администрации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сельского поселения Фрунзенское</w:t>
      </w:r>
    </w:p>
    <w:p w:rsidR="00705A84" w:rsidRPr="00D04243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705A84" w:rsidRDefault="00705A84" w:rsidP="00705A84">
      <w:pPr>
        <w:shd w:val="clear" w:color="auto" w:fill="FFFFFF"/>
        <w:jc w:val="right"/>
        <w:rPr>
          <w:b/>
        </w:rPr>
      </w:pPr>
      <w:r w:rsidRPr="00D04243">
        <w:rPr>
          <w:b/>
        </w:rPr>
        <w:t>Самарской области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«Об утверждении муниципальной программы 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>«Повышение эффективности использования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имущества сельского поселения Фрунзенское</w:t>
      </w:r>
    </w:p>
    <w:p w:rsidR="00705A84" w:rsidRDefault="00705A84" w:rsidP="00705A84">
      <w:pPr>
        <w:jc w:val="right"/>
        <w:rPr>
          <w:b/>
        </w:rPr>
      </w:pPr>
      <w:r w:rsidRPr="008C1FF9">
        <w:rPr>
          <w:b/>
        </w:rPr>
        <w:t xml:space="preserve"> муниципального района Большеглушицкий </w:t>
      </w:r>
    </w:p>
    <w:p w:rsidR="00705A84" w:rsidRPr="008C1FF9" w:rsidRDefault="00705A84" w:rsidP="00705A84">
      <w:pPr>
        <w:jc w:val="right"/>
        <w:rPr>
          <w:b/>
        </w:rPr>
      </w:pPr>
      <w:r w:rsidRPr="008C1FF9">
        <w:rPr>
          <w:b/>
        </w:rPr>
        <w:t>Самарской области на 2021 – 2025 годы»</w:t>
      </w:r>
    </w:p>
    <w:p w:rsidR="00705A84" w:rsidRPr="00D04243" w:rsidRDefault="00705A84" w:rsidP="00705A84">
      <w:pPr>
        <w:shd w:val="clear" w:color="auto" w:fill="FFFFFF"/>
        <w:jc w:val="right"/>
        <w:rPr>
          <w:b/>
          <w:color w:val="000000"/>
        </w:rPr>
      </w:pPr>
    </w:p>
    <w:p w:rsidR="00705A84" w:rsidRPr="00A03B93" w:rsidRDefault="00705A84" w:rsidP="00705A84">
      <w:pPr>
        <w:shd w:val="clear" w:color="auto" w:fill="FFFFFF"/>
        <w:jc w:val="right"/>
        <w:rPr>
          <w:b/>
          <w:color w:val="000000"/>
          <w:u w:val="single"/>
        </w:rPr>
      </w:pPr>
      <w:r>
        <w:rPr>
          <w:b/>
          <w:color w:val="000000"/>
        </w:rPr>
        <w:t xml:space="preserve">от  «13»  </w:t>
      </w:r>
      <w:r>
        <w:rPr>
          <w:b/>
          <w:color w:val="000000"/>
          <w:u w:val="single"/>
        </w:rPr>
        <w:t>июля</w:t>
      </w:r>
      <w:r>
        <w:rPr>
          <w:b/>
          <w:color w:val="000000"/>
        </w:rPr>
        <w:t xml:space="preserve"> 2021 г. №</w:t>
      </w:r>
      <w:r w:rsidRPr="00D04243"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71</w:t>
      </w:r>
    </w:p>
    <w:p w:rsidR="00705A84" w:rsidRDefault="00705A84" w:rsidP="00705A84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05A84" w:rsidRDefault="00705A84" w:rsidP="00705A84">
      <w:pPr>
        <w:spacing w:before="187" w:after="187"/>
        <w:jc w:val="right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rPr>
          <w:b/>
          <w:i/>
          <w:sz w:val="28"/>
          <w:szCs w:val="28"/>
        </w:rPr>
      </w:pPr>
    </w:p>
    <w:p w:rsidR="00705A84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705A84" w:rsidRDefault="00705A84" w:rsidP="00705A84">
      <w:pPr>
        <w:jc w:val="center"/>
        <w:rPr>
          <w:b/>
          <w:i/>
          <w:sz w:val="32"/>
          <w:szCs w:val="32"/>
        </w:rPr>
      </w:pPr>
    </w:p>
    <w:p w:rsidR="00705A84" w:rsidRPr="0022554E" w:rsidRDefault="00705A84" w:rsidP="00705A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2021</w:t>
      </w:r>
      <w:r w:rsidRPr="00EB6FC0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25</w:t>
      </w:r>
      <w:r w:rsidRPr="0022554E">
        <w:rPr>
          <w:b/>
          <w:i/>
          <w:sz w:val="32"/>
          <w:szCs w:val="32"/>
        </w:rPr>
        <w:t xml:space="preserve"> годы</w:t>
      </w:r>
    </w:p>
    <w:p w:rsidR="00705A84" w:rsidRDefault="00705A84" w:rsidP="00705A84">
      <w:pPr>
        <w:jc w:val="center"/>
      </w:pPr>
    </w:p>
    <w:p w:rsidR="00705A84" w:rsidRDefault="00705A84" w:rsidP="00705A84">
      <w:pPr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jc w:val="center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Default="00705A84" w:rsidP="00705A84">
      <w:pPr>
        <w:spacing w:before="187" w:after="187"/>
        <w:rPr>
          <w:color w:val="000000"/>
          <w:sz w:val="28"/>
          <w:szCs w:val="28"/>
        </w:rPr>
      </w:pPr>
    </w:p>
    <w:p w:rsidR="00705A84" w:rsidRPr="00C30713" w:rsidRDefault="00705A84" w:rsidP="007B4721">
      <w:pPr>
        <w:rPr>
          <w:b/>
          <w:caps/>
          <w:sz w:val="28"/>
          <w:szCs w:val="28"/>
        </w:rPr>
      </w:pPr>
    </w:p>
    <w:p w:rsidR="00705A84" w:rsidRDefault="00705A84" w:rsidP="00705A84">
      <w:pPr>
        <w:rPr>
          <w:b/>
          <w:caps/>
          <w:sz w:val="28"/>
          <w:szCs w:val="28"/>
        </w:rPr>
      </w:pPr>
    </w:p>
    <w:p w:rsidR="00705A84" w:rsidRDefault="00705A84" w:rsidP="00705A8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ПАСПОРТ</w:t>
      </w:r>
    </w:p>
    <w:p w:rsidR="00705A84" w:rsidRPr="003C6FB5" w:rsidRDefault="00705A84" w:rsidP="00705A84">
      <w:pPr>
        <w:jc w:val="center"/>
        <w:rPr>
          <w:b/>
          <w:sz w:val="28"/>
          <w:szCs w:val="28"/>
        </w:rPr>
      </w:pPr>
      <w:r w:rsidRPr="003C6FB5">
        <w:rPr>
          <w:b/>
          <w:sz w:val="28"/>
          <w:szCs w:val="28"/>
        </w:rPr>
        <w:t>муниципальной  программы</w:t>
      </w:r>
      <w:r w:rsidRPr="003C6FB5">
        <w:rPr>
          <w:b/>
          <w:caps/>
          <w:sz w:val="28"/>
          <w:szCs w:val="28"/>
        </w:rPr>
        <w:t xml:space="preserve"> </w:t>
      </w:r>
      <w:r w:rsidRPr="003C6FB5">
        <w:rPr>
          <w:b/>
          <w:sz w:val="28"/>
          <w:szCs w:val="28"/>
        </w:rPr>
        <w:t>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</w:t>
      </w:r>
      <w:r>
        <w:rPr>
          <w:b/>
          <w:sz w:val="28"/>
          <w:szCs w:val="28"/>
        </w:rPr>
        <w:t xml:space="preserve">   </w:t>
      </w:r>
      <w:r w:rsidRPr="003C6FB5">
        <w:rPr>
          <w:b/>
          <w:sz w:val="28"/>
          <w:szCs w:val="28"/>
        </w:rPr>
        <w:t>на 2021-2025 годы»</w:t>
      </w:r>
    </w:p>
    <w:p w:rsidR="00705A84" w:rsidRPr="003C6FB5" w:rsidRDefault="00705A84" w:rsidP="00705A84">
      <w:pPr>
        <w:jc w:val="center"/>
        <w:rPr>
          <w:b/>
          <w:caps/>
          <w:sz w:val="28"/>
          <w:szCs w:val="28"/>
        </w:rPr>
      </w:pPr>
    </w:p>
    <w:p w:rsidR="00705A84" w:rsidRPr="006D2559" w:rsidRDefault="00705A84" w:rsidP="00705A84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7229"/>
      </w:tblGrid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>Наименование Программы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color w:val="000000"/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705A84" w:rsidRPr="00160635" w:rsidRDefault="00705A84" w:rsidP="00FF53B4">
            <w:pPr>
              <w:rPr>
                <w:sz w:val="28"/>
                <w:szCs w:val="28"/>
              </w:rPr>
            </w:pPr>
            <w:r w:rsidRPr="00160635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160635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2021-2025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№9.</w:t>
            </w:r>
          </w:p>
          <w:p w:rsidR="00705A84" w:rsidRPr="00C30713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rPr>
          <w:trHeight w:val="838"/>
        </w:trPr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</w:t>
            </w:r>
            <w:r>
              <w:rPr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3C6FB5" w:rsidRDefault="00705A84" w:rsidP="00FF53B4">
            <w:pPr>
              <w:rPr>
                <w:b/>
                <w:sz w:val="28"/>
                <w:szCs w:val="28"/>
              </w:rPr>
            </w:pPr>
            <w:r w:rsidRPr="003C6FB5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229" w:type="dxa"/>
          </w:tcPr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623F5D" w:rsidRDefault="00705A84" w:rsidP="00FF53B4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  <w:r w:rsidRPr="00623F5D">
              <w:rPr>
                <w:b/>
                <w:sz w:val="28"/>
                <w:szCs w:val="28"/>
              </w:rPr>
              <w:t>показатели программы</w:t>
            </w: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Default="00705A84" w:rsidP="00FF53B4">
            <w:pPr>
              <w:rPr>
                <w:b/>
                <w:sz w:val="28"/>
                <w:szCs w:val="28"/>
              </w:rPr>
            </w:pP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229" w:type="dxa"/>
          </w:tcPr>
          <w:p w:rsidR="00705A84" w:rsidRPr="00160635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160635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</w:p>
          <w:p w:rsidR="00705A84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</w:t>
            </w:r>
            <w:r>
              <w:rPr>
                <w:color w:val="000000"/>
                <w:sz w:val="28"/>
                <w:szCs w:val="28"/>
              </w:rPr>
              <w:t>етствующих условий и механизмов.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705A84" w:rsidRPr="00803C78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З</w:t>
            </w: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адачи: </w:t>
            </w:r>
          </w:p>
          <w:p w:rsidR="00705A84" w:rsidRPr="00A768D1" w:rsidRDefault="00705A84" w:rsidP="00FF53B4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A768D1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предпринимательства.</w:t>
            </w:r>
          </w:p>
          <w:p w:rsidR="00705A84" w:rsidRPr="00F31674" w:rsidRDefault="00705A84" w:rsidP="00FF53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отсутствуют</w:t>
            </w:r>
          </w:p>
          <w:p w:rsidR="00705A84" w:rsidRPr="007B4721" w:rsidRDefault="00705A84" w:rsidP="007B4721">
            <w:pPr>
              <w:tabs>
                <w:tab w:val="left" w:pos="322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705A84" w:rsidRPr="00A768D1" w:rsidRDefault="00705A84" w:rsidP="00FF53B4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705A84" w:rsidRPr="00B441DB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г. </w:t>
            </w:r>
            <w:r w:rsidRPr="007C078A"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705A84" w:rsidRPr="00A768D1" w:rsidTr="00FF53B4">
        <w:tc>
          <w:tcPr>
            <w:tcW w:w="2481" w:type="dxa"/>
          </w:tcPr>
          <w:p w:rsidR="00705A84" w:rsidRPr="00160635" w:rsidRDefault="00705A84" w:rsidP="00FF53B4">
            <w:pPr>
              <w:rPr>
                <w:b/>
                <w:sz w:val="28"/>
                <w:szCs w:val="28"/>
              </w:rPr>
            </w:pPr>
            <w:r w:rsidRPr="00160635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BE059A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BE059A">
              <w:rPr>
                <w:sz w:val="28"/>
                <w:szCs w:val="28"/>
              </w:rPr>
              <w:t xml:space="preserve">                    </w:t>
            </w:r>
            <w:r w:rsidR="001C3563">
              <w:rPr>
                <w:sz w:val="28"/>
                <w:szCs w:val="28"/>
              </w:rPr>
              <w:t>5426,7</w:t>
            </w:r>
            <w:r w:rsidR="00582F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тыс.руб., из них   2021 – </w:t>
            </w:r>
            <w:r w:rsidR="00B75E1F">
              <w:rPr>
                <w:sz w:val="28"/>
                <w:szCs w:val="28"/>
              </w:rPr>
              <w:t>2</w:t>
            </w:r>
            <w:r w:rsidR="007B1D4C">
              <w:rPr>
                <w:sz w:val="28"/>
                <w:szCs w:val="28"/>
              </w:rPr>
              <w:t>100,9</w:t>
            </w:r>
            <w:r>
              <w:rPr>
                <w:sz w:val="28"/>
                <w:szCs w:val="28"/>
              </w:rPr>
              <w:t xml:space="preserve"> тыс.руб., </w:t>
            </w:r>
            <w:r w:rsidR="00BE059A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2022 – </w:t>
            </w:r>
            <w:r w:rsidR="0071521E">
              <w:rPr>
                <w:sz w:val="28"/>
                <w:szCs w:val="28"/>
              </w:rPr>
              <w:t>2244</w:t>
            </w:r>
            <w:r w:rsidR="00582FBA">
              <w:rPr>
                <w:sz w:val="28"/>
                <w:szCs w:val="28"/>
              </w:rPr>
              <w:t xml:space="preserve">,6 </w:t>
            </w:r>
            <w:r>
              <w:rPr>
                <w:sz w:val="28"/>
                <w:szCs w:val="28"/>
              </w:rPr>
              <w:t xml:space="preserve">тыс.руб, 2023 – </w:t>
            </w:r>
            <w:r w:rsidR="001C3563">
              <w:rPr>
                <w:sz w:val="28"/>
                <w:szCs w:val="28"/>
              </w:rPr>
              <w:t>360,4</w:t>
            </w:r>
            <w:r>
              <w:rPr>
                <w:sz w:val="28"/>
                <w:szCs w:val="28"/>
              </w:rPr>
              <w:t xml:space="preserve"> тыс.руб, </w:t>
            </w:r>
          </w:p>
          <w:p w:rsidR="00705A84" w:rsidRDefault="00705A84" w:rsidP="00BE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</w:t>
            </w:r>
            <w:r w:rsidR="001C3563">
              <w:rPr>
                <w:sz w:val="28"/>
                <w:szCs w:val="28"/>
              </w:rPr>
              <w:t xml:space="preserve">– 360,4 </w:t>
            </w:r>
            <w:r>
              <w:rPr>
                <w:sz w:val="28"/>
                <w:szCs w:val="28"/>
              </w:rPr>
              <w:t xml:space="preserve">тыс. руб, </w:t>
            </w:r>
            <w:r w:rsidR="00BE059A">
              <w:rPr>
                <w:sz w:val="28"/>
                <w:szCs w:val="28"/>
              </w:rPr>
              <w:t xml:space="preserve">2025 </w:t>
            </w:r>
            <w:r w:rsidR="001C3563">
              <w:rPr>
                <w:sz w:val="28"/>
                <w:szCs w:val="28"/>
              </w:rPr>
              <w:t xml:space="preserve">– 360,4 </w:t>
            </w:r>
            <w:r>
              <w:rPr>
                <w:sz w:val="28"/>
                <w:szCs w:val="28"/>
              </w:rPr>
              <w:t>тыс. руб.</w:t>
            </w:r>
          </w:p>
          <w:p w:rsidR="00705A84" w:rsidRDefault="00705A84" w:rsidP="00FF53B4">
            <w:pPr>
              <w:jc w:val="both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2055E8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</w:p>
        </w:tc>
      </w:tr>
      <w:tr w:rsidR="00705A84" w:rsidRPr="00A768D1" w:rsidTr="00FF53B4">
        <w:tc>
          <w:tcPr>
            <w:tcW w:w="2481" w:type="dxa"/>
          </w:tcPr>
          <w:p w:rsidR="00705A84" w:rsidRDefault="00705A84" w:rsidP="00FF53B4">
            <w:pPr>
              <w:rPr>
                <w:sz w:val="28"/>
                <w:szCs w:val="28"/>
              </w:rPr>
            </w:pPr>
          </w:p>
          <w:p w:rsidR="00705A84" w:rsidRPr="002055E8" w:rsidRDefault="00705A84" w:rsidP="00FF53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</w:t>
            </w:r>
            <w:r w:rsidRPr="002055E8">
              <w:rPr>
                <w:b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7229" w:type="dxa"/>
          </w:tcPr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</w:t>
            </w:r>
            <w:r>
              <w:rPr>
                <w:sz w:val="28"/>
                <w:szCs w:val="28"/>
              </w:rPr>
              <w:t>д 2021-2025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705A84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705A84" w:rsidRPr="00A768D1" w:rsidRDefault="00705A84" w:rsidP="00FF53B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705A84" w:rsidRPr="00A768D1" w:rsidRDefault="00705A84" w:rsidP="00705A84">
      <w:pPr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C30713" w:rsidRDefault="00705A84" w:rsidP="00705A84">
      <w:pPr>
        <w:pStyle w:val="justppt"/>
        <w:jc w:val="center"/>
        <w:rPr>
          <w:b/>
          <w:sz w:val="28"/>
          <w:szCs w:val="28"/>
        </w:rPr>
      </w:pPr>
    </w:p>
    <w:p w:rsidR="007B4721" w:rsidRPr="00C30713" w:rsidRDefault="007B4721" w:rsidP="00705A84">
      <w:pPr>
        <w:pStyle w:val="justppt"/>
        <w:jc w:val="center"/>
        <w:rPr>
          <w:b/>
          <w:sz w:val="28"/>
          <w:szCs w:val="28"/>
        </w:rPr>
      </w:pPr>
    </w:p>
    <w:p w:rsidR="00705A84" w:rsidRPr="00964E4E" w:rsidRDefault="00705A84" w:rsidP="00705A84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705A84" w:rsidRPr="00F97A4E" w:rsidRDefault="00705A84" w:rsidP="00705A84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F97A4E">
        <w:rPr>
          <w:sz w:val="28"/>
          <w:szCs w:val="28"/>
        </w:rPr>
        <w:t xml:space="preserve">По состоянию на 01.04.2021 года в собственности сельского поселения находится имущество, балансовой стоимостью </w:t>
      </w:r>
      <w:r w:rsidRPr="00F97A4E">
        <w:rPr>
          <w:sz w:val="28"/>
          <w:szCs w:val="28"/>
          <w:u w:val="single"/>
        </w:rPr>
        <w:t xml:space="preserve">3 483796,27 руб., в том числе  объектов недвижимого имущества 606 483,35 руб.,  3 ед. автотранспорта на сумму 1 100000 руб., прочее имущество (сети, оборудование, вычислительная техника и др.) на сумму 1 777312,92 руб. 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Состояние объектов недвижимости, острый недостаток оборотных средств, предприятий жилищно-коммунального хозяйства, сельского хозяйства и других </w:t>
      </w:r>
      <w:r w:rsidRPr="00B33EB4">
        <w:rPr>
          <w:sz w:val="28"/>
          <w:szCs w:val="28"/>
        </w:rPr>
        <w:lastRenderedPageBreak/>
        <w:t>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705A84" w:rsidRPr="006529E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цели</w:t>
      </w:r>
      <w:r w:rsidRPr="002055E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 задачи программы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25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>
        <w:rPr>
          <w:sz w:val="28"/>
          <w:szCs w:val="28"/>
        </w:rPr>
        <w:t xml:space="preserve"> и других явлений.</w:t>
      </w:r>
    </w:p>
    <w:p w:rsidR="00705A84" w:rsidRPr="001A0045" w:rsidRDefault="00705A84" w:rsidP="00705A84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обеспечение воспроизводства муниципальных ресурсов за счет собственных внутренних резервов;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705A84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055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Сроки  и этапы реализации программы</w:t>
      </w:r>
    </w:p>
    <w:p w:rsidR="00705A84" w:rsidRPr="00916ED9" w:rsidRDefault="00705A84" w:rsidP="00705A84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</w:t>
      </w:r>
      <w:r w:rsidRPr="008C1FF9">
        <w:rPr>
          <w:sz w:val="28"/>
          <w:szCs w:val="28"/>
        </w:rPr>
        <w:t>21</w:t>
      </w:r>
      <w:r>
        <w:rPr>
          <w:sz w:val="28"/>
          <w:szCs w:val="28"/>
        </w:rPr>
        <w:t xml:space="preserve"> - 202</w:t>
      </w:r>
      <w:r w:rsidRPr="008C1FF9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  <w:r w:rsidRPr="008C1FF9">
        <w:rPr>
          <w:sz w:val="28"/>
          <w:szCs w:val="28"/>
        </w:rPr>
        <w:t xml:space="preserve"> </w:t>
      </w:r>
      <w:r w:rsidRPr="007C078A">
        <w:rPr>
          <w:sz w:val="28"/>
          <w:szCs w:val="28"/>
        </w:rPr>
        <w:t>Этапы реализации программы не выделяются.</w:t>
      </w:r>
    </w:p>
    <w:p w:rsidR="00705A84" w:rsidRPr="006859F6" w:rsidRDefault="00705A84" w:rsidP="00705A84">
      <w:pPr>
        <w:pStyle w:val="cenpt"/>
        <w:jc w:val="center"/>
        <w:rPr>
          <w:b/>
          <w:sz w:val="28"/>
          <w:szCs w:val="28"/>
        </w:rPr>
      </w:pPr>
      <w:r w:rsidRPr="006859F6">
        <w:rPr>
          <w:b/>
          <w:sz w:val="28"/>
          <w:szCs w:val="28"/>
          <w:lang w:val="en-US"/>
        </w:rPr>
        <w:t>IV</w:t>
      </w:r>
      <w:r w:rsidRPr="006859F6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>Перечень</w:t>
      </w:r>
    </w:p>
    <w:p w:rsidR="00705A84" w:rsidRPr="006859F6" w:rsidRDefault="00705A84" w:rsidP="00705A84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6859F6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6859F6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</w:t>
      </w:r>
      <w:r>
        <w:rPr>
          <w:b/>
          <w:bCs/>
        </w:rPr>
        <w:t>021-2025</w:t>
      </w:r>
      <w:r w:rsidRPr="006859F6">
        <w:rPr>
          <w:b/>
          <w:bCs/>
        </w:rPr>
        <w:t xml:space="preserve"> годы»»</w:t>
      </w:r>
    </w:p>
    <w:p w:rsidR="00705A84" w:rsidRPr="00200125" w:rsidRDefault="00705A84" w:rsidP="00705A84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406"/>
        <w:gridCol w:w="1252"/>
        <w:gridCol w:w="1083"/>
        <w:gridCol w:w="1083"/>
        <w:gridCol w:w="1083"/>
      </w:tblGrid>
      <w:tr w:rsidR="00705A84" w:rsidRPr="00242228" w:rsidTr="00FF53B4">
        <w:trPr>
          <w:trHeight w:val="480"/>
        </w:trPr>
        <w:tc>
          <w:tcPr>
            <w:tcW w:w="580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№ п/п</w:t>
            </w:r>
          </w:p>
        </w:tc>
        <w:tc>
          <w:tcPr>
            <w:tcW w:w="2503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 xml:space="preserve">Наименование </w:t>
            </w:r>
            <w:r>
              <w:rPr>
                <w:b/>
              </w:rPr>
              <w:t>цели, задачи, показателя 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</w:p>
        </w:tc>
        <w:tc>
          <w:tcPr>
            <w:tcW w:w="1431" w:type="dxa"/>
            <w:vMerge w:val="restart"/>
          </w:tcPr>
          <w:p w:rsidR="00705A84" w:rsidRPr="00242228" w:rsidRDefault="00705A84" w:rsidP="00FF53B4">
            <w:pPr>
              <w:pStyle w:val="af0"/>
              <w:jc w:val="both"/>
              <w:rPr>
                <w:b/>
              </w:rPr>
            </w:pPr>
            <w:r w:rsidRPr="00242228">
              <w:rPr>
                <w:b/>
              </w:rPr>
              <w:t>Единица измерения</w:t>
            </w:r>
          </w:p>
        </w:tc>
        <w:tc>
          <w:tcPr>
            <w:tcW w:w="5907" w:type="dxa"/>
            <w:gridSpan w:val="5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Значение</w:t>
            </w:r>
            <w:r w:rsidRPr="00C5676F">
              <w:rPr>
                <w:b/>
              </w:rPr>
              <w:t xml:space="preserve"> </w:t>
            </w:r>
            <w:r>
              <w:rPr>
                <w:b/>
              </w:rPr>
              <w:t xml:space="preserve">показателя </w:t>
            </w:r>
            <w:r w:rsidRPr="00242228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42228">
              <w:rPr>
                <w:b/>
              </w:rPr>
              <w:t>индикатора</w:t>
            </w:r>
            <w:r>
              <w:rPr>
                <w:b/>
              </w:rPr>
              <w:t>)</w:t>
            </w:r>
            <w:r w:rsidRPr="00242228">
              <w:rPr>
                <w:b/>
              </w:rPr>
              <w:t xml:space="preserve"> по годам</w:t>
            </w:r>
          </w:p>
        </w:tc>
      </w:tr>
      <w:tr w:rsidR="00705A84" w:rsidRPr="00C5676F" w:rsidTr="00FF53B4">
        <w:trPr>
          <w:trHeight w:val="353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 w:val="restart"/>
          </w:tcPr>
          <w:p w:rsidR="00705A84" w:rsidRPr="00CD51CD" w:rsidRDefault="00705A84" w:rsidP="00FF53B4">
            <w:pPr>
              <w:pStyle w:val="af0"/>
              <w:jc w:val="center"/>
            </w:pPr>
            <w:r w:rsidRPr="00CD51CD">
              <w:t>Отчет</w:t>
            </w:r>
          </w:p>
          <w:p w:rsidR="00705A84" w:rsidRPr="00C5676F" w:rsidRDefault="00705A84" w:rsidP="00FF53B4">
            <w:pPr>
              <w:pStyle w:val="af0"/>
              <w:jc w:val="center"/>
              <w:rPr>
                <w:sz w:val="20"/>
                <w:szCs w:val="20"/>
              </w:rPr>
            </w:pPr>
            <w:r>
              <w:t>2021</w:t>
            </w:r>
          </w:p>
        </w:tc>
        <w:tc>
          <w:tcPr>
            <w:tcW w:w="4501" w:type="dxa"/>
            <w:gridSpan w:val="4"/>
          </w:tcPr>
          <w:p w:rsidR="00705A84" w:rsidRPr="00C5676F" w:rsidRDefault="00705A84" w:rsidP="00FF53B4">
            <w:pPr>
              <w:pStyle w:val="af0"/>
              <w:jc w:val="center"/>
            </w:pPr>
            <w:r>
              <w:t>Плановый период (прогноз)</w:t>
            </w:r>
          </w:p>
        </w:tc>
      </w:tr>
      <w:tr w:rsidR="00705A84" w:rsidRPr="00C5676F" w:rsidTr="00FF53B4">
        <w:trPr>
          <w:trHeight w:val="352"/>
        </w:trPr>
        <w:tc>
          <w:tcPr>
            <w:tcW w:w="580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2503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31" w:type="dxa"/>
            <w:vMerge/>
          </w:tcPr>
          <w:p w:rsidR="00705A84" w:rsidRPr="00242228" w:rsidRDefault="00705A84" w:rsidP="00FF53B4">
            <w:pPr>
              <w:pStyle w:val="af0"/>
              <w:jc w:val="both"/>
            </w:pPr>
          </w:p>
        </w:tc>
        <w:tc>
          <w:tcPr>
            <w:tcW w:w="1406" w:type="dxa"/>
            <w:vMerge/>
          </w:tcPr>
          <w:p w:rsidR="00705A84" w:rsidRDefault="00705A84" w:rsidP="00FF53B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2022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2023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2024</w:t>
            </w:r>
          </w:p>
        </w:tc>
        <w:tc>
          <w:tcPr>
            <w:tcW w:w="1083" w:type="dxa"/>
          </w:tcPr>
          <w:p w:rsidR="00705A84" w:rsidRPr="00C5676F" w:rsidRDefault="00705A84" w:rsidP="00FF53B4">
            <w:pPr>
              <w:pStyle w:val="af0"/>
              <w:jc w:val="center"/>
            </w:pPr>
            <w:r>
              <w:t>2025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Цель: повышение эффективности 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B60858" w:rsidTr="00FF53B4">
        <w:tc>
          <w:tcPr>
            <w:tcW w:w="10421" w:type="dxa"/>
            <w:gridSpan w:val="8"/>
          </w:tcPr>
          <w:p w:rsidR="00705A84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Задача: Имущественная поддержка субъектов малого и среднего предпринимательства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05A84" w:rsidRPr="00B60858" w:rsidTr="00FF53B4">
        <w:tc>
          <w:tcPr>
            <w:tcW w:w="580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2503" w:type="dxa"/>
          </w:tcPr>
          <w:p w:rsidR="00705A84" w:rsidRPr="00256D20" w:rsidRDefault="00705A84" w:rsidP="00FF53B4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1431" w:type="dxa"/>
          </w:tcPr>
          <w:p w:rsidR="00705A84" w:rsidRPr="00242228" w:rsidRDefault="00705A84" w:rsidP="00FF53B4">
            <w:pPr>
              <w:pStyle w:val="af0"/>
              <w:rPr>
                <w:b/>
              </w:rPr>
            </w:pPr>
            <w:r w:rsidRPr="00242228">
              <w:rPr>
                <w:b/>
              </w:rPr>
              <w:t>%</w:t>
            </w:r>
          </w:p>
        </w:tc>
        <w:tc>
          <w:tcPr>
            <w:tcW w:w="1406" w:type="dxa"/>
          </w:tcPr>
          <w:p w:rsidR="00705A84" w:rsidRPr="00B60858" w:rsidRDefault="00705A84" w:rsidP="00FF53B4">
            <w:pPr>
              <w:pStyle w:val="af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2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83" w:type="dxa"/>
          </w:tcPr>
          <w:p w:rsidR="00705A84" w:rsidRPr="00B60858" w:rsidRDefault="00705A84" w:rsidP="00FF53B4">
            <w:pPr>
              <w:pStyle w:val="af0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705A84" w:rsidRPr="007B4721" w:rsidRDefault="00705A84" w:rsidP="00705A84">
      <w:pPr>
        <w:pStyle w:val="cenpt"/>
        <w:jc w:val="both"/>
        <w:rPr>
          <w:sz w:val="28"/>
          <w:szCs w:val="28"/>
          <w:lang w:val="en-US"/>
        </w:rPr>
      </w:pPr>
    </w:p>
    <w:p w:rsidR="00705A84" w:rsidRPr="00AE3C39" w:rsidRDefault="00705A84" w:rsidP="00705A84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Механизм реализации программы</w:t>
      </w:r>
    </w:p>
    <w:p w:rsidR="00705A84" w:rsidRPr="00B33EB4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705A84" w:rsidRPr="00B33EB4" w:rsidRDefault="00705A84" w:rsidP="00705A84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Pr="00F31674">
        <w:rPr>
          <w:sz w:val="28"/>
          <w:szCs w:val="28"/>
        </w:rPr>
        <w:t>перечень имущества для субъектов МСП</w:t>
      </w:r>
      <w:r>
        <w:rPr>
          <w:rFonts w:eastAsia="Calibri"/>
          <w:sz w:val="28"/>
          <w:szCs w:val="28"/>
          <w:lang w:eastAsia="en-US"/>
        </w:rPr>
        <w:t>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705A84" w:rsidRPr="0012696A" w:rsidRDefault="00705A84" w:rsidP="00705A84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705A84" w:rsidRPr="00811751" w:rsidRDefault="00705A84" w:rsidP="00705A84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705A84" w:rsidRPr="00811751" w:rsidRDefault="00705A84" w:rsidP="00705A84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705A84" w:rsidRP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контроля за </w:t>
      </w:r>
      <w:r>
        <w:rPr>
          <w:sz w:val="28"/>
          <w:szCs w:val="28"/>
        </w:rPr>
        <w:t>поступлением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</w:t>
      </w:r>
      <w:r>
        <w:rPr>
          <w:sz w:val="28"/>
          <w:szCs w:val="28"/>
        </w:rPr>
        <w:t>инга арендных платежей;</w:t>
      </w:r>
    </w:p>
    <w:p w:rsidR="00705A84" w:rsidRPr="00EF45F8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</w:t>
      </w:r>
      <w:r>
        <w:rPr>
          <w:sz w:val="28"/>
          <w:szCs w:val="28"/>
        </w:rPr>
        <w:t>ванием объектов нежилого фонда;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705A84" w:rsidRDefault="00705A84" w:rsidP="00705A84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705A84" w:rsidRPr="003C364D" w:rsidRDefault="00705A84" w:rsidP="00705A84">
      <w:pPr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</w:t>
      </w:r>
      <w:r w:rsidRPr="00AE3C39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 w:rsidRPr="003C364D">
        <w:rPr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продолжить реализацию программы;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внести изменения в программу;</w:t>
      </w:r>
    </w:p>
    <w:p w:rsidR="00705A84" w:rsidRPr="003C364D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досрочно прекратить реализацию программы;</w:t>
      </w:r>
    </w:p>
    <w:p w:rsidR="00705A84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  <w:r w:rsidRPr="003C364D">
        <w:rPr>
          <w:color w:val="000000"/>
          <w:sz w:val="28"/>
          <w:szCs w:val="28"/>
        </w:rPr>
        <w:t>- реализацию программы признать завершенной.</w:t>
      </w:r>
    </w:p>
    <w:p w:rsidR="00705A84" w:rsidRPr="00AE3C39" w:rsidRDefault="00705A84" w:rsidP="00705A84">
      <w:pPr>
        <w:ind w:left="-180" w:firstLine="540"/>
        <w:jc w:val="both"/>
        <w:rPr>
          <w:color w:val="000000"/>
          <w:sz w:val="28"/>
          <w:szCs w:val="28"/>
        </w:rPr>
      </w:pPr>
    </w:p>
    <w:p w:rsidR="00705A84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Ресурсное обеспечение программы</w:t>
      </w:r>
    </w:p>
    <w:p w:rsidR="00BE059A" w:rsidRDefault="00BE05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 Объем финансирования программы составляет:</w:t>
      </w:r>
    </w:p>
    <w:p w:rsidR="00BE059A" w:rsidRDefault="006B739A" w:rsidP="00BE05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3563">
        <w:rPr>
          <w:sz w:val="28"/>
          <w:szCs w:val="28"/>
        </w:rPr>
        <w:t>5426,7</w:t>
      </w:r>
      <w:r w:rsidR="00582FBA"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тыс.руб., из них   2021 – </w:t>
      </w:r>
      <w:r w:rsidR="007B1D4C">
        <w:rPr>
          <w:sz w:val="28"/>
          <w:szCs w:val="28"/>
        </w:rPr>
        <w:t>2100,9</w:t>
      </w:r>
      <w:r w:rsidR="00BE059A">
        <w:rPr>
          <w:sz w:val="28"/>
          <w:szCs w:val="28"/>
        </w:rPr>
        <w:t xml:space="preserve"> тыс.руб.,  2022 – </w:t>
      </w:r>
      <w:r w:rsidR="0071521E">
        <w:rPr>
          <w:sz w:val="28"/>
          <w:szCs w:val="28"/>
        </w:rPr>
        <w:t>2244</w:t>
      </w:r>
      <w:r w:rsidR="00582FBA">
        <w:rPr>
          <w:sz w:val="28"/>
          <w:szCs w:val="28"/>
        </w:rPr>
        <w:t>,6</w:t>
      </w:r>
      <w:r w:rsidR="00BE059A">
        <w:rPr>
          <w:sz w:val="28"/>
          <w:szCs w:val="28"/>
        </w:rPr>
        <w:t xml:space="preserve"> тыс.руб, </w:t>
      </w:r>
      <w:r>
        <w:rPr>
          <w:sz w:val="28"/>
          <w:szCs w:val="28"/>
        </w:rPr>
        <w:t xml:space="preserve">                                                              </w:t>
      </w:r>
      <w:r w:rsidR="00BE059A">
        <w:rPr>
          <w:sz w:val="28"/>
          <w:szCs w:val="28"/>
        </w:rPr>
        <w:t xml:space="preserve">2023 – </w:t>
      </w:r>
      <w:r w:rsidR="001C3563">
        <w:rPr>
          <w:sz w:val="28"/>
          <w:szCs w:val="28"/>
        </w:rPr>
        <w:t>360,4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тыс.руб, </w:t>
      </w:r>
      <w:r>
        <w:rPr>
          <w:sz w:val="28"/>
          <w:szCs w:val="28"/>
        </w:rPr>
        <w:t xml:space="preserve"> </w:t>
      </w:r>
      <w:r w:rsidR="00BE059A">
        <w:rPr>
          <w:sz w:val="28"/>
          <w:szCs w:val="28"/>
        </w:rPr>
        <w:t xml:space="preserve">2024 – </w:t>
      </w:r>
      <w:r w:rsidR="001C3563">
        <w:rPr>
          <w:sz w:val="28"/>
          <w:szCs w:val="28"/>
        </w:rPr>
        <w:t>360,4</w:t>
      </w:r>
      <w:r w:rsidR="00BE059A">
        <w:rPr>
          <w:sz w:val="28"/>
          <w:szCs w:val="28"/>
        </w:rPr>
        <w:t xml:space="preserve">тыс. руб, 2025 – </w:t>
      </w:r>
      <w:r w:rsidR="001C3563">
        <w:rPr>
          <w:sz w:val="28"/>
          <w:szCs w:val="28"/>
        </w:rPr>
        <w:t xml:space="preserve">360,4 </w:t>
      </w:r>
      <w:r w:rsidR="00BE059A">
        <w:rPr>
          <w:sz w:val="28"/>
          <w:szCs w:val="28"/>
        </w:rPr>
        <w:t>тыс. руб.</w:t>
      </w:r>
    </w:p>
    <w:p w:rsidR="00705A84" w:rsidRDefault="00705A84" w:rsidP="00705A84">
      <w:pPr>
        <w:pStyle w:val="af0"/>
        <w:ind w:firstLine="567"/>
        <w:jc w:val="both"/>
        <w:rPr>
          <w:b/>
          <w:sz w:val="28"/>
        </w:rPr>
      </w:pPr>
      <w:r w:rsidRPr="00AE3C39">
        <w:rPr>
          <w:rFonts w:ascii="Open Sans" w:hAnsi="Open Sans"/>
          <w:color w:val="000000"/>
          <w:sz w:val="28"/>
          <w:szCs w:val="28"/>
        </w:rPr>
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705A84" w:rsidRPr="00AE3C3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t xml:space="preserve"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</w:p>
    <w:p w:rsidR="00705A84" w:rsidRPr="008C1FF9" w:rsidRDefault="00705A84" w:rsidP="00705A84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AE3C39">
        <w:rPr>
          <w:rFonts w:ascii="Open Sans" w:hAnsi="Open Sans" w:cs="Arial"/>
          <w:color w:val="000000"/>
          <w:sz w:val="28"/>
          <w:szCs w:val="28"/>
        </w:rPr>
        <w:lastRenderedPageBreak/>
        <w:t xml:space="preserve">     Информация о ресурсном обеспечении реализации программы за счет средств бюджета сельского поселения Фрунзенское муниципального района Большеглушицкий Самарской области в разрезе мероприятий  представлена в приложении №1 к программе.</w:t>
      </w:r>
    </w:p>
    <w:p w:rsidR="00705A84" w:rsidRPr="00AE3C39" w:rsidRDefault="00705A84" w:rsidP="00705A84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33EB4">
        <w:rPr>
          <w:sz w:val="28"/>
          <w:szCs w:val="28"/>
        </w:rPr>
        <w:t>Р</w:t>
      </w:r>
      <w:r>
        <w:rPr>
          <w:sz w:val="28"/>
          <w:szCs w:val="28"/>
        </w:rPr>
        <w:t>еализация основных мероприятий п</w:t>
      </w:r>
      <w:r w:rsidRPr="00B33EB4">
        <w:rPr>
          <w:sz w:val="28"/>
          <w:szCs w:val="28"/>
        </w:rPr>
        <w:t>рограммы позволит: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705A84" w:rsidRPr="00B71611" w:rsidRDefault="00705A84" w:rsidP="00705A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71611"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705A84" w:rsidRPr="00B33EB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705A84" w:rsidRDefault="00705A84" w:rsidP="00705A84">
      <w:pPr>
        <w:pStyle w:val="justppt"/>
        <w:spacing w:before="0" w:beforeAutospacing="0" w:after="0" w:afterAutospacing="0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705A84" w:rsidRPr="00D641A4" w:rsidRDefault="00705A84" w:rsidP="00705A84">
      <w:pPr>
        <w:pStyle w:val="af0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705A84" w:rsidRPr="00B33EB4" w:rsidRDefault="00705A84" w:rsidP="00705A84">
      <w:pPr>
        <w:pStyle w:val="justppt"/>
        <w:jc w:val="both"/>
        <w:rPr>
          <w:sz w:val="28"/>
          <w:szCs w:val="28"/>
        </w:r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righpt"/>
        <w:sectPr w:rsidR="00705A8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705A84" w:rsidRDefault="00705A84" w:rsidP="00705A84">
      <w:pPr>
        <w:pStyle w:val="righpt"/>
      </w:pPr>
    </w:p>
    <w:p w:rsidR="00705A84" w:rsidRDefault="00705A84" w:rsidP="00705A8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№ 1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05A84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05A84" w:rsidRPr="008F3C8B" w:rsidRDefault="00705A84" w:rsidP="00705A8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705A84" w:rsidRDefault="00705A84" w:rsidP="00705A84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2021 – 2025 ГОДЫ»</w:t>
      </w:r>
    </w:p>
    <w:p w:rsidR="00705A84" w:rsidRDefault="00705A84" w:rsidP="00705A84">
      <w:pPr>
        <w:pStyle w:val="cenpt"/>
        <w:spacing w:before="0" w:beforeAutospacing="0" w:after="0" w:afterAutospacing="0"/>
      </w:pPr>
    </w:p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4536"/>
        <w:gridCol w:w="1559"/>
        <w:gridCol w:w="1134"/>
        <w:gridCol w:w="1276"/>
        <w:gridCol w:w="1134"/>
        <w:gridCol w:w="1134"/>
        <w:gridCol w:w="1056"/>
      </w:tblGrid>
      <w:tr w:rsidR="00705A84" w:rsidRPr="001B2A11" w:rsidTr="00FF53B4">
        <w:tc>
          <w:tcPr>
            <w:tcW w:w="540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№</w:t>
            </w:r>
          </w:p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 xml:space="preserve">Наименование мероприятия 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Исполнители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Срок реализации, годы</w:t>
            </w:r>
          </w:p>
        </w:tc>
        <w:tc>
          <w:tcPr>
            <w:tcW w:w="5734" w:type="dxa"/>
            <w:gridSpan w:val="5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 w:rsidRPr="001B2A11">
              <w:rPr>
                <w:rFonts w:cs="Calibri"/>
              </w:rPr>
              <w:t>Объем финансирования по годам, рублей</w:t>
            </w:r>
          </w:p>
        </w:tc>
      </w:tr>
      <w:tr w:rsidR="00705A84" w:rsidRPr="001B2A11" w:rsidTr="00FF53B4">
        <w:tc>
          <w:tcPr>
            <w:tcW w:w="540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2024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2025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spacing w:before="60" w:after="60"/>
              <w:ind w:left="34"/>
              <w:jc w:val="center"/>
              <w:rPr>
                <w:color w:val="000000"/>
              </w:rPr>
            </w:pPr>
            <w:r w:rsidRPr="00A3131C">
              <w:t xml:space="preserve">Задачи. </w:t>
            </w:r>
            <w:r w:rsidRPr="001B2A11">
              <w:rPr>
                <w:color w:val="000000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t xml:space="preserve"> сельского поселения </w:t>
            </w:r>
            <w:r w:rsidRPr="00A3131C">
              <w:t>Фрунзенское</w:t>
            </w:r>
            <w:r w:rsidRPr="001B2A11">
              <w:rPr>
                <w:color w:val="000000"/>
              </w:rPr>
              <w:t xml:space="preserve">  </w:t>
            </w:r>
            <w:r w:rsidRPr="00A3131C">
              <w:t>муниципального района Большеглушицкий Самарской области.</w:t>
            </w:r>
          </w:p>
          <w:p w:rsidR="00705A84" w:rsidRPr="00A3131C" w:rsidRDefault="00705A84" w:rsidP="00FF53B4">
            <w:pPr>
              <w:spacing w:before="60" w:after="60"/>
              <w:ind w:left="34"/>
              <w:jc w:val="center"/>
            </w:pPr>
            <w:r w:rsidRPr="001B2A11">
              <w:rPr>
                <w:color w:val="000000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1C3563" w:rsidRPr="001B2A11" w:rsidTr="00FF53B4">
        <w:tc>
          <w:tcPr>
            <w:tcW w:w="540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1C3563" w:rsidRPr="002F0986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1C3563" w:rsidRPr="002F0986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1508300</w:t>
            </w:r>
          </w:p>
        </w:tc>
        <w:tc>
          <w:tcPr>
            <w:tcW w:w="1276" w:type="dxa"/>
            <w:shd w:val="clear" w:color="auto" w:fill="auto"/>
          </w:tcPr>
          <w:p w:rsidR="001C3563" w:rsidRPr="001B2A11" w:rsidRDefault="001C3563" w:rsidP="00774B8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2218400</w:t>
            </w:r>
          </w:p>
        </w:tc>
        <w:tc>
          <w:tcPr>
            <w:tcW w:w="1134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341400</w:t>
            </w:r>
          </w:p>
        </w:tc>
        <w:tc>
          <w:tcPr>
            <w:tcW w:w="1134" w:type="dxa"/>
            <w:shd w:val="clear" w:color="auto" w:fill="auto"/>
          </w:tcPr>
          <w:p w:rsidR="001C3563" w:rsidRDefault="001C3563">
            <w:r w:rsidRPr="00267195">
              <w:rPr>
                <w:rFonts w:cs="Calibri"/>
              </w:rPr>
              <w:t>341400</w:t>
            </w:r>
          </w:p>
        </w:tc>
        <w:tc>
          <w:tcPr>
            <w:tcW w:w="1056" w:type="dxa"/>
            <w:shd w:val="clear" w:color="auto" w:fill="auto"/>
          </w:tcPr>
          <w:p w:rsidR="001C3563" w:rsidRDefault="001C3563">
            <w:r w:rsidRPr="00267195">
              <w:rPr>
                <w:rFonts w:cs="Calibri"/>
              </w:rPr>
              <w:t>341400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Эксплуатация</w:t>
            </w:r>
          </w:p>
        </w:tc>
        <w:tc>
          <w:tcPr>
            <w:tcW w:w="4536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705A84" w:rsidRPr="002F0986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Р</w:t>
            </w:r>
            <w:r w:rsidRPr="001B39A6">
              <w:t>емонт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lastRenderedPageBreak/>
              <w:t>4.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B1D4C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21700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74B8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262</w:t>
            </w:r>
            <w:r w:rsidR="0078337A">
              <w:rPr>
                <w:rFonts w:cs="Calibri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BE059A" w:rsidRPr="001B2A11">
              <w:rPr>
                <w:rFonts w:cs="Calibri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705A84" w:rsidRPr="001B2A11">
              <w:rPr>
                <w:rFonts w:cs="Calibri"/>
              </w:rPr>
              <w:t>000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705A84" w:rsidRPr="001B2A11">
              <w:rPr>
                <w:rFonts w:cs="Calibri"/>
              </w:rPr>
              <w:t>000</w:t>
            </w:r>
          </w:p>
        </w:tc>
      </w:tr>
      <w:tr w:rsidR="00B75E1F" w:rsidRPr="001B2A11" w:rsidTr="00FF53B4">
        <w:tc>
          <w:tcPr>
            <w:tcW w:w="540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>
              <w:t>Предоставление из областного бюджета иных межбюджетных трансфертов бюджету сельского поселения Фрунзенское м.р. Большеглушицкий Самарской области на реализацию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4536" w:type="dxa"/>
            <w:shd w:val="clear" w:color="auto" w:fill="auto"/>
          </w:tcPr>
          <w:p w:rsidR="00B75E1F" w:rsidRPr="00547D04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B75E1F" w:rsidRPr="001B2A11" w:rsidRDefault="00B75E1F" w:rsidP="007C394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570900</w:t>
            </w:r>
          </w:p>
        </w:tc>
        <w:tc>
          <w:tcPr>
            <w:tcW w:w="127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5E1F" w:rsidRPr="001B2A11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B75E1F" w:rsidRDefault="00B75E1F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05A84" w:rsidRPr="001B2A11" w:rsidTr="00FF53B4">
        <w:tc>
          <w:tcPr>
            <w:tcW w:w="15487" w:type="dxa"/>
            <w:gridSpan w:val="9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705A84" w:rsidRPr="001B2A11" w:rsidTr="00FF53B4">
        <w:tc>
          <w:tcPr>
            <w:tcW w:w="540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705A8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4536" w:type="dxa"/>
            <w:shd w:val="clear" w:color="auto" w:fill="auto"/>
          </w:tcPr>
          <w:p w:rsidR="00705A84" w:rsidRPr="00547D04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  <w:r>
              <w:t xml:space="preserve"> </w:t>
            </w: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1559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2021-2025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  <w:tc>
          <w:tcPr>
            <w:tcW w:w="1056" w:type="dxa"/>
            <w:shd w:val="clear" w:color="auto" w:fill="auto"/>
          </w:tcPr>
          <w:p w:rsidR="00705A84" w:rsidRPr="001B2A11" w:rsidRDefault="00705A84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 w:rsidRPr="001B2A11">
              <w:rPr>
                <w:rFonts w:cs="Calibri"/>
              </w:rPr>
              <w:t>0</w:t>
            </w:r>
          </w:p>
        </w:tc>
      </w:tr>
      <w:tr w:rsidR="001C3563" w:rsidRPr="001B2A11" w:rsidTr="00FF53B4">
        <w:tc>
          <w:tcPr>
            <w:tcW w:w="540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 w:rsidRPr="001B2A11">
              <w:rPr>
                <w:b/>
              </w:rPr>
              <w:t xml:space="preserve">ВСЕГО             </w:t>
            </w:r>
          </w:p>
        </w:tc>
        <w:tc>
          <w:tcPr>
            <w:tcW w:w="4536" w:type="dxa"/>
            <w:shd w:val="clear" w:color="auto" w:fill="auto"/>
          </w:tcPr>
          <w:p w:rsidR="001C3563" w:rsidRPr="002F0986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1C3563" w:rsidRPr="001B2A11" w:rsidRDefault="001C3563" w:rsidP="00FF53B4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2100900</w:t>
            </w:r>
          </w:p>
        </w:tc>
        <w:tc>
          <w:tcPr>
            <w:tcW w:w="1276" w:type="dxa"/>
            <w:shd w:val="clear" w:color="auto" w:fill="auto"/>
          </w:tcPr>
          <w:p w:rsidR="001C3563" w:rsidRPr="001B2A11" w:rsidRDefault="001C3563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2244600</w:t>
            </w:r>
          </w:p>
        </w:tc>
        <w:tc>
          <w:tcPr>
            <w:tcW w:w="1134" w:type="dxa"/>
            <w:shd w:val="clear" w:color="auto" w:fill="auto"/>
          </w:tcPr>
          <w:p w:rsidR="001C3563" w:rsidRPr="001B2A11" w:rsidRDefault="001C3563" w:rsidP="00BE05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360400</w:t>
            </w:r>
          </w:p>
        </w:tc>
        <w:tc>
          <w:tcPr>
            <w:tcW w:w="1134" w:type="dxa"/>
            <w:shd w:val="clear" w:color="auto" w:fill="auto"/>
          </w:tcPr>
          <w:p w:rsidR="001C3563" w:rsidRDefault="001C3563">
            <w:r w:rsidRPr="00E91592">
              <w:rPr>
                <w:rFonts w:cs="Calibri"/>
              </w:rPr>
              <w:t>360400</w:t>
            </w:r>
          </w:p>
        </w:tc>
        <w:tc>
          <w:tcPr>
            <w:tcW w:w="1056" w:type="dxa"/>
            <w:shd w:val="clear" w:color="auto" w:fill="auto"/>
          </w:tcPr>
          <w:p w:rsidR="001C3563" w:rsidRDefault="001C3563">
            <w:r w:rsidRPr="00E91592">
              <w:rPr>
                <w:rFonts w:cs="Calibri"/>
              </w:rPr>
              <w:t>360400</w:t>
            </w:r>
          </w:p>
        </w:tc>
      </w:tr>
    </w:tbl>
    <w:p w:rsidR="00705A84" w:rsidRPr="00AE3C39" w:rsidRDefault="00705A84" w:rsidP="00705A84">
      <w:pPr>
        <w:widowControl w:val="0"/>
        <w:autoSpaceDE w:val="0"/>
        <w:autoSpaceDN w:val="0"/>
        <w:adjustRightInd w:val="0"/>
        <w:rPr>
          <w:rFonts w:cs="Calibri"/>
        </w:rPr>
        <w:sectPr w:rsidR="00705A84" w:rsidRPr="00AE3C39" w:rsidSect="00FC5EC5">
          <w:pgSz w:w="16838" w:h="11906" w:orient="landscape"/>
          <w:pgMar w:top="567" w:right="680" w:bottom="1021" w:left="567" w:header="709" w:footer="709" w:gutter="0"/>
          <w:cols w:space="708"/>
          <w:docGrid w:linePitch="360"/>
        </w:sect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Приложение № 2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2021 – 2025 годы» </w:t>
      </w: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Default="007B4721" w:rsidP="007B4721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4721" w:rsidRPr="00045E47" w:rsidRDefault="007B4721" w:rsidP="007B47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5E47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Default="007B4721" w:rsidP="007B47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7B4721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403E4893" wp14:editId="3072F563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21" w:rsidRPr="00045E47" w:rsidRDefault="007B4721" w:rsidP="007B4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n-го показателя (индикатора);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53CA377" wp14:editId="4257F787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n-го показателя (индикатора) на конец отчетного года;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F</w:t>
      </w:r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7B4721" w:rsidRPr="00045E47" w:rsidRDefault="007B4721" w:rsidP="007B47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045F" w:rsidRDefault="007B4721" w:rsidP="007B4721">
      <w:pPr>
        <w:pStyle w:val="ConsPlusNormal"/>
        <w:jc w:val="both"/>
        <w:rPr>
          <w:rFonts w:ascii="Times New Roman" w:hAnsi="Times New Roman" w:cs="Times New Roman"/>
        </w:rPr>
      </w:pPr>
    </w:p>
    <w:p w:rsidR="007B4721" w:rsidRPr="00045E47" w:rsidRDefault="007B4721" w:rsidP="007B47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p w:rsidR="007B4721" w:rsidRPr="00200125" w:rsidRDefault="007B4721" w:rsidP="007B4721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</w:t>
      </w:r>
    </w:p>
    <w:sectPr w:rsidR="004F6A26" w:rsidRPr="00437DB8" w:rsidSect="007B472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AE" w:rsidRDefault="00242EAE" w:rsidP="00563ADD">
      <w:r>
        <w:separator/>
      </w:r>
    </w:p>
  </w:endnote>
  <w:endnote w:type="continuationSeparator" w:id="0">
    <w:p w:rsidR="00242EAE" w:rsidRDefault="00242EA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242EA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5345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242EA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AE" w:rsidRDefault="00242EAE" w:rsidP="00563ADD">
      <w:r>
        <w:separator/>
      </w:r>
    </w:p>
  </w:footnote>
  <w:footnote w:type="continuationSeparator" w:id="0">
    <w:p w:rsidR="00242EAE" w:rsidRDefault="00242EA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47D6B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56BEA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2803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563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0ED3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2EA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070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9C0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19B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0A2A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A85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7AE"/>
    <w:rsid w:val="004058F9"/>
    <w:rsid w:val="00405E0A"/>
    <w:rsid w:val="00405F37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8D"/>
    <w:rsid w:val="004213BC"/>
    <w:rsid w:val="0042205E"/>
    <w:rsid w:val="0042253D"/>
    <w:rsid w:val="00422E97"/>
    <w:rsid w:val="0042440F"/>
    <w:rsid w:val="00424FD4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387C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2FBA"/>
    <w:rsid w:val="00583268"/>
    <w:rsid w:val="00583272"/>
    <w:rsid w:val="00584754"/>
    <w:rsid w:val="00584AD2"/>
    <w:rsid w:val="00584E2E"/>
    <w:rsid w:val="00586193"/>
    <w:rsid w:val="005863F4"/>
    <w:rsid w:val="00590759"/>
    <w:rsid w:val="00590B6A"/>
    <w:rsid w:val="0059295D"/>
    <w:rsid w:val="005932C1"/>
    <w:rsid w:val="00593800"/>
    <w:rsid w:val="0059456E"/>
    <w:rsid w:val="00594D1B"/>
    <w:rsid w:val="00595747"/>
    <w:rsid w:val="00595C39"/>
    <w:rsid w:val="0059746D"/>
    <w:rsid w:val="00597BAF"/>
    <w:rsid w:val="005A009E"/>
    <w:rsid w:val="005A0F33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6DA8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0FF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6BC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63C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39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A84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21E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B83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337A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1D4C"/>
    <w:rsid w:val="007B2A5F"/>
    <w:rsid w:val="007B35E2"/>
    <w:rsid w:val="007B3871"/>
    <w:rsid w:val="007B472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17F11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244E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0BD6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936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060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D00"/>
    <w:rsid w:val="008C33C1"/>
    <w:rsid w:val="008C34BF"/>
    <w:rsid w:val="008C36AB"/>
    <w:rsid w:val="008C3812"/>
    <w:rsid w:val="008C3900"/>
    <w:rsid w:val="008C3ADC"/>
    <w:rsid w:val="008C40B5"/>
    <w:rsid w:val="008C4FCD"/>
    <w:rsid w:val="008C617C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10E6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2C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5E1F"/>
    <w:rsid w:val="00B7617F"/>
    <w:rsid w:val="00B8059E"/>
    <w:rsid w:val="00B80C29"/>
    <w:rsid w:val="00B80F33"/>
    <w:rsid w:val="00B814D8"/>
    <w:rsid w:val="00B82CF1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59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45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BA0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713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6A64"/>
    <w:rsid w:val="00D07DA9"/>
    <w:rsid w:val="00D10030"/>
    <w:rsid w:val="00D11209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2853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4568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3E76"/>
    <w:rsid w:val="00FF5850"/>
    <w:rsid w:val="00FF5D1A"/>
    <w:rsid w:val="00FF73DA"/>
    <w:rsid w:val="00FF769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0">
    <w:name w:val="Body Text"/>
    <w:basedOn w:val="a"/>
    <w:link w:val="af1"/>
    <w:uiPriority w:val="99"/>
    <w:rsid w:val="00705A84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rsid w:val="00705A84"/>
    <w:rPr>
      <w:rFonts w:eastAsia="Times New Roman"/>
      <w:szCs w:val="24"/>
      <w:lang w:eastAsia="ar-SA"/>
    </w:rPr>
  </w:style>
  <w:style w:type="paragraph" w:styleId="af2">
    <w:name w:val="Normal (Web)"/>
    <w:basedOn w:val="a"/>
    <w:uiPriority w:val="99"/>
    <w:rsid w:val="00705A84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rsid w:val="00705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5A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7F3E6B-9EDA-4080-994F-611254DA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2021-11-09T07:06:00Z</cp:lastPrinted>
  <dcterms:created xsi:type="dcterms:W3CDTF">2023-01-16T10:22:00Z</dcterms:created>
  <dcterms:modified xsi:type="dcterms:W3CDTF">2023-01-16T10:22:00Z</dcterms:modified>
</cp:coreProperties>
</file>