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42734">
        <w:rPr>
          <w:b/>
          <w:caps/>
          <w:sz w:val="20"/>
          <w:u w:val="single"/>
        </w:rPr>
        <w:t>2</w:t>
      </w:r>
      <w:r w:rsidR="005C3D92">
        <w:rPr>
          <w:b/>
          <w:caps/>
          <w:sz w:val="20"/>
          <w:u w:val="single"/>
        </w:rPr>
        <w:t>7</w:t>
      </w:r>
      <w:r>
        <w:rPr>
          <w:b/>
          <w:caps/>
          <w:sz w:val="20"/>
        </w:rPr>
        <w:t xml:space="preserve"> » </w:t>
      </w:r>
      <w:r w:rsidR="009F1823">
        <w:rPr>
          <w:b/>
          <w:caps/>
          <w:sz w:val="20"/>
        </w:rPr>
        <w:t xml:space="preserve"> </w:t>
      </w:r>
      <w:r w:rsidR="00042734">
        <w:rPr>
          <w:b/>
          <w:caps/>
          <w:sz w:val="20"/>
        </w:rPr>
        <w:t>декабря</w:t>
      </w:r>
      <w:r>
        <w:rPr>
          <w:b/>
          <w:caps/>
          <w:sz w:val="20"/>
        </w:rPr>
        <w:t xml:space="preserve"> </w:t>
      </w:r>
      <w:r w:rsidR="000A14C0">
        <w:rPr>
          <w:b/>
          <w:caps/>
          <w:sz w:val="20"/>
        </w:rPr>
        <w:t xml:space="preserve"> 20</w:t>
      </w:r>
      <w:r w:rsidR="0078337A">
        <w:rPr>
          <w:b/>
          <w:caps/>
          <w:sz w:val="20"/>
        </w:rPr>
        <w:t>2</w:t>
      </w:r>
      <w:r w:rsidR="000A14C0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="00042734">
        <w:rPr>
          <w:b/>
          <w:caps/>
          <w:sz w:val="20"/>
          <w:u w:val="single"/>
        </w:rPr>
        <w:t>№177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965BF0">
        <w:rPr>
          <w:b/>
          <w:sz w:val="28"/>
          <w:szCs w:val="28"/>
        </w:rPr>
        <w:t xml:space="preserve"> на  2021-2026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5C3D92" w:rsidRPr="006000FF" w:rsidRDefault="004F6A26" w:rsidP="00601BBC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DE135D">
        <w:rPr>
          <w:sz w:val="28"/>
          <w:szCs w:val="28"/>
        </w:rPr>
        <w:t>амарской  области  на  2021-2026</w:t>
      </w:r>
      <w:r w:rsidR="006000FF" w:rsidRPr="006000FF">
        <w:rPr>
          <w:sz w:val="28"/>
          <w:szCs w:val="28"/>
        </w:rPr>
        <w:t xml:space="preserve">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DE135D">
        <w:rPr>
          <w:sz w:val="28"/>
          <w:szCs w:val="28"/>
        </w:rPr>
        <w:t>следующее изменение</w:t>
      </w:r>
      <w:r w:rsidR="00957222">
        <w:rPr>
          <w:sz w:val="28"/>
          <w:szCs w:val="28"/>
        </w:rPr>
        <w:t>:</w:t>
      </w:r>
    </w:p>
    <w:p w:rsidR="00424FD4" w:rsidRPr="006000FF" w:rsidRDefault="00601BBC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042734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042734">
        <w:rPr>
          <w:color w:val="000000"/>
          <w:sz w:val="28"/>
          <w:szCs w:val="28"/>
        </w:rPr>
        <w:t>Ю.Н.Пищулин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82FBA">
        <w:rPr>
          <w:b/>
        </w:rPr>
        <w:t>«</w:t>
      </w:r>
      <w:r w:rsidR="00042734">
        <w:rPr>
          <w:b/>
        </w:rPr>
        <w:t>27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042734">
        <w:rPr>
          <w:b/>
          <w:u w:val="single"/>
        </w:rPr>
        <w:t>декабря</w:t>
      </w:r>
      <w:r w:rsidR="00601BBC">
        <w:rPr>
          <w:b/>
          <w:u w:val="single"/>
        </w:rPr>
        <w:t xml:space="preserve"> </w:t>
      </w:r>
      <w:r w:rsidR="0097728D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42734">
        <w:rPr>
          <w:b/>
          <w:u w:val="single"/>
        </w:rPr>
        <w:t>177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3870CE" w:rsidP="00705A84">
      <w:pPr>
        <w:jc w:val="right"/>
        <w:rPr>
          <w:b/>
        </w:rPr>
      </w:pPr>
      <w:r>
        <w:rPr>
          <w:b/>
        </w:rPr>
        <w:t>Самарской области на 2021 – 2026</w:t>
      </w:r>
      <w:r w:rsidR="00705A84" w:rsidRPr="008C1FF9">
        <w:rPr>
          <w:b/>
        </w:rPr>
        <w:t xml:space="preserve">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 w:rsidR="003870CE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</w:t>
            </w:r>
            <w:r w:rsidR="00A674B0">
              <w:rPr>
                <w:sz w:val="28"/>
                <w:szCs w:val="28"/>
              </w:rPr>
              <w:t>й Самарской области на 2021-2026</w:t>
            </w:r>
            <w:r>
              <w:rPr>
                <w:sz w:val="28"/>
                <w:szCs w:val="28"/>
              </w:rPr>
              <w:t xml:space="preserve">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A674B0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705A84">
              <w:rPr>
                <w:sz w:val="28"/>
                <w:szCs w:val="28"/>
              </w:rPr>
              <w:t xml:space="preserve"> г. </w:t>
            </w:r>
            <w:r w:rsidR="00705A84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042734">
              <w:rPr>
                <w:sz w:val="28"/>
                <w:szCs w:val="28"/>
              </w:rPr>
              <w:t>97</w:t>
            </w:r>
            <w:r w:rsidR="002D2DB4">
              <w:rPr>
                <w:sz w:val="28"/>
                <w:szCs w:val="28"/>
              </w:rPr>
              <w:t>14,2</w:t>
            </w:r>
            <w:r w:rsidR="0097728D">
              <w:rPr>
                <w:sz w:val="28"/>
                <w:szCs w:val="28"/>
              </w:rPr>
              <w:t xml:space="preserve"> </w:t>
            </w:r>
            <w:r w:rsidR="00582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тыс.руб.,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AB73FC">
              <w:rPr>
                <w:sz w:val="28"/>
                <w:szCs w:val="28"/>
              </w:rPr>
              <w:t>1987,9</w:t>
            </w:r>
            <w:r w:rsidR="00582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</w:t>
            </w:r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2023 – </w:t>
            </w:r>
            <w:r w:rsidR="00601BBC">
              <w:rPr>
                <w:sz w:val="28"/>
                <w:szCs w:val="28"/>
              </w:rPr>
              <w:t>1</w:t>
            </w:r>
            <w:r w:rsidR="00991645">
              <w:rPr>
                <w:sz w:val="28"/>
                <w:szCs w:val="28"/>
              </w:rPr>
              <w:t>368,4</w:t>
            </w:r>
            <w:r w:rsidR="00977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тыс.руб</w:t>
            </w:r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</w:p>
          <w:p w:rsidR="003870CE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601BBC">
              <w:rPr>
                <w:sz w:val="28"/>
                <w:szCs w:val="28"/>
              </w:rPr>
              <w:t>1419</w:t>
            </w:r>
            <w:r>
              <w:rPr>
                <w:sz w:val="28"/>
                <w:szCs w:val="28"/>
              </w:rPr>
              <w:t>,0 тыс. руб</w:t>
            </w:r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BE059A">
              <w:rPr>
                <w:sz w:val="28"/>
                <w:szCs w:val="28"/>
              </w:rPr>
              <w:t xml:space="preserve">2025 – </w:t>
            </w:r>
            <w:r w:rsidR="00601BBC">
              <w:rPr>
                <w:sz w:val="28"/>
                <w:szCs w:val="28"/>
              </w:rPr>
              <w:t>1419</w:t>
            </w:r>
            <w:r w:rsidR="003870CE">
              <w:rPr>
                <w:sz w:val="28"/>
                <w:szCs w:val="28"/>
              </w:rPr>
              <w:t xml:space="preserve">,0 тыс. руб., </w:t>
            </w:r>
          </w:p>
          <w:p w:rsidR="00705A84" w:rsidRDefault="003870CE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– </w:t>
            </w:r>
            <w:r w:rsidR="00601BBC">
              <w:rPr>
                <w:sz w:val="28"/>
                <w:szCs w:val="28"/>
              </w:rPr>
              <w:t>1419</w:t>
            </w:r>
            <w:r>
              <w:rPr>
                <w:sz w:val="28"/>
                <w:szCs w:val="28"/>
              </w:rPr>
              <w:t>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 w:rsidR="00A674B0">
              <w:rPr>
                <w:sz w:val="28"/>
                <w:szCs w:val="28"/>
              </w:rPr>
              <w:t>д 2021-2026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A674B0">
        <w:rPr>
          <w:sz w:val="28"/>
          <w:szCs w:val="28"/>
        </w:rPr>
        <w:t>26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A674B0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2317"/>
        <w:gridCol w:w="1414"/>
        <w:gridCol w:w="1249"/>
        <w:gridCol w:w="1101"/>
        <w:gridCol w:w="978"/>
        <w:gridCol w:w="978"/>
        <w:gridCol w:w="978"/>
        <w:gridCol w:w="889"/>
      </w:tblGrid>
      <w:tr w:rsidR="00A674B0" w:rsidRPr="00242228" w:rsidTr="003358B3">
        <w:trPr>
          <w:trHeight w:val="480"/>
        </w:trPr>
        <w:tc>
          <w:tcPr>
            <w:tcW w:w="576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364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6346" w:type="dxa"/>
            <w:gridSpan w:val="6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A674B0" w:rsidRPr="00C5676F" w:rsidTr="003C4608">
        <w:trPr>
          <w:trHeight w:val="353"/>
        </w:trPr>
        <w:tc>
          <w:tcPr>
            <w:tcW w:w="576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2364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418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288" w:type="dxa"/>
            <w:vMerge w:val="restart"/>
          </w:tcPr>
          <w:p w:rsidR="00A674B0" w:rsidRPr="00CD51CD" w:rsidRDefault="00A674B0" w:rsidP="00FF53B4">
            <w:pPr>
              <w:pStyle w:val="af0"/>
              <w:jc w:val="center"/>
            </w:pPr>
            <w:r w:rsidRPr="00CD51CD">
              <w:t>Отчет</w:t>
            </w:r>
          </w:p>
          <w:p w:rsidR="00A674B0" w:rsidRPr="00C5676F" w:rsidRDefault="00A674B0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5058" w:type="dxa"/>
            <w:gridSpan w:val="5"/>
          </w:tcPr>
          <w:p w:rsidR="00A674B0" w:rsidRDefault="00A674B0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A674B0" w:rsidRPr="00C5676F" w:rsidTr="00A674B0">
        <w:trPr>
          <w:trHeight w:val="352"/>
        </w:trPr>
        <w:tc>
          <w:tcPr>
            <w:tcW w:w="576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2364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418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288" w:type="dxa"/>
            <w:vMerge/>
          </w:tcPr>
          <w:p w:rsidR="00A674B0" w:rsidRDefault="00A674B0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jc w:val="center"/>
            </w:pPr>
            <w:r>
              <w:t>2026</w:t>
            </w:r>
          </w:p>
        </w:tc>
      </w:tr>
      <w:tr w:rsidR="00A674B0" w:rsidRPr="00B60858" w:rsidTr="00597080">
        <w:tc>
          <w:tcPr>
            <w:tcW w:w="10704" w:type="dxa"/>
            <w:gridSpan w:val="9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A674B0" w:rsidRPr="00B60858" w:rsidTr="004F6003">
        <w:tc>
          <w:tcPr>
            <w:tcW w:w="10704" w:type="dxa"/>
            <w:gridSpan w:val="9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A674B0" w:rsidRPr="00B60858" w:rsidTr="00A674B0">
        <w:tc>
          <w:tcPr>
            <w:tcW w:w="576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364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18" w:type="dxa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288" w:type="dxa"/>
          </w:tcPr>
          <w:p w:rsidR="00A674B0" w:rsidRPr="00B60858" w:rsidRDefault="00A674B0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9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74B0" w:rsidRPr="00B60858" w:rsidTr="00A674B0">
        <w:tc>
          <w:tcPr>
            <w:tcW w:w="576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364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18" w:type="dxa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288" w:type="dxa"/>
          </w:tcPr>
          <w:p w:rsidR="00A674B0" w:rsidRPr="00B60858" w:rsidRDefault="00A674B0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9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601BBC" w:rsidRDefault="00601BBC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601BBC" w:rsidRDefault="00601BBC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2734">
        <w:rPr>
          <w:sz w:val="28"/>
          <w:szCs w:val="28"/>
        </w:rPr>
        <w:t>97</w:t>
      </w:r>
      <w:r w:rsidR="00991645">
        <w:rPr>
          <w:sz w:val="28"/>
          <w:szCs w:val="28"/>
        </w:rPr>
        <w:t>1</w:t>
      </w:r>
      <w:r w:rsidR="002D2DB4">
        <w:rPr>
          <w:sz w:val="28"/>
          <w:szCs w:val="28"/>
        </w:rPr>
        <w:t>4</w:t>
      </w:r>
      <w:r w:rsidR="00042734">
        <w:rPr>
          <w:sz w:val="28"/>
          <w:szCs w:val="28"/>
        </w:rPr>
        <w:t>,</w:t>
      </w:r>
      <w:r w:rsidR="002D2DB4">
        <w:rPr>
          <w:sz w:val="28"/>
          <w:szCs w:val="28"/>
        </w:rPr>
        <w:t>2</w:t>
      </w:r>
      <w:r w:rsidR="00582FBA"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тыс.руб.,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тыс.руб.,  2022 – </w:t>
      </w:r>
      <w:r w:rsidR="001F4E62">
        <w:rPr>
          <w:sz w:val="28"/>
          <w:szCs w:val="28"/>
        </w:rPr>
        <w:t>1987,9</w:t>
      </w:r>
      <w:r w:rsidR="00BE059A">
        <w:rPr>
          <w:sz w:val="28"/>
          <w:szCs w:val="28"/>
        </w:rPr>
        <w:t xml:space="preserve"> тыс.руб,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 xml:space="preserve">2023 – </w:t>
      </w:r>
      <w:r w:rsidR="00601BBC">
        <w:rPr>
          <w:sz w:val="28"/>
          <w:szCs w:val="28"/>
        </w:rPr>
        <w:t>1</w:t>
      </w:r>
      <w:r w:rsidR="00991645">
        <w:rPr>
          <w:sz w:val="28"/>
          <w:szCs w:val="28"/>
        </w:rPr>
        <w:t>368,4</w:t>
      </w:r>
      <w:r w:rsidR="00F11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тыс.руб,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2024 – </w:t>
      </w:r>
      <w:r w:rsidR="00601BBC">
        <w:rPr>
          <w:sz w:val="28"/>
          <w:szCs w:val="28"/>
        </w:rPr>
        <w:t>1419</w:t>
      </w:r>
      <w:r w:rsidR="00BE059A">
        <w:rPr>
          <w:sz w:val="28"/>
          <w:szCs w:val="28"/>
        </w:rPr>
        <w:t xml:space="preserve">,0 тыс. руб, 2025 – </w:t>
      </w:r>
      <w:r w:rsidR="00601BBC">
        <w:rPr>
          <w:sz w:val="28"/>
          <w:szCs w:val="28"/>
        </w:rPr>
        <w:t>1419</w:t>
      </w:r>
      <w:r w:rsidR="00BE059A">
        <w:rPr>
          <w:sz w:val="28"/>
          <w:szCs w:val="28"/>
        </w:rPr>
        <w:t>,0 тыс. руб</w:t>
      </w:r>
      <w:r w:rsidR="00A674B0">
        <w:rPr>
          <w:sz w:val="28"/>
          <w:szCs w:val="28"/>
        </w:rPr>
        <w:t xml:space="preserve">, 2026 – </w:t>
      </w:r>
      <w:r w:rsidR="00601BBC">
        <w:rPr>
          <w:sz w:val="28"/>
          <w:szCs w:val="28"/>
        </w:rPr>
        <w:t>1419,0</w:t>
      </w:r>
      <w:r w:rsidR="00A674B0">
        <w:rPr>
          <w:sz w:val="28"/>
          <w:szCs w:val="28"/>
        </w:rPr>
        <w:t xml:space="preserve">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A674B0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705A84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 xml:space="preserve">ИСПОЛЬЗОВАНИЯ МУНИЦИПАЛЬНОГО ИМУЩЕСТВА СЕЛЬСКОГО ПОСЕЛЕНИЯ ФРУНЗЕНСКОЕ МУНИЦИПАЛЬНОГО РАЙОНА БОЛЬШЕГЛУШИЦКИЙ САМАРСКОЙ </w:t>
      </w:r>
      <w:r w:rsidR="00A674B0">
        <w:rPr>
          <w:rStyle w:val="ad"/>
        </w:rPr>
        <w:t>ОБЛАСТИ  НА 2021 – 2026</w:t>
      </w:r>
      <w:r>
        <w:rPr>
          <w:rStyle w:val="ad"/>
        </w:rPr>
        <w:t xml:space="preserve">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84"/>
        <w:gridCol w:w="3961"/>
        <w:gridCol w:w="1532"/>
        <w:gridCol w:w="1115"/>
        <w:gridCol w:w="1223"/>
        <w:gridCol w:w="1115"/>
        <w:gridCol w:w="1099"/>
        <w:gridCol w:w="1056"/>
        <w:gridCol w:w="1056"/>
      </w:tblGrid>
      <w:tr w:rsidR="00A674B0" w:rsidRPr="001B2A11" w:rsidTr="005167DC">
        <w:tc>
          <w:tcPr>
            <w:tcW w:w="540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3961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A674B0" w:rsidRPr="001B2A11" w:rsidTr="005167DC">
        <w:tc>
          <w:tcPr>
            <w:tcW w:w="540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  <w:tc>
          <w:tcPr>
            <w:tcW w:w="1056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</w:tr>
      <w:tr w:rsidR="00A674B0" w:rsidRPr="001B2A11" w:rsidTr="005167DC">
        <w:tc>
          <w:tcPr>
            <w:tcW w:w="15581" w:type="dxa"/>
            <w:gridSpan w:val="10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A674B0" w:rsidRPr="001B2A11" w:rsidTr="005167DC">
        <w:tc>
          <w:tcPr>
            <w:tcW w:w="15581" w:type="dxa"/>
            <w:gridSpan w:val="10"/>
            <w:shd w:val="clear" w:color="auto" w:fill="auto"/>
          </w:tcPr>
          <w:p w:rsidR="00A674B0" w:rsidRPr="001B2A11" w:rsidRDefault="00A674B0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A674B0" w:rsidRPr="00A3131C" w:rsidRDefault="00A674B0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5167DC" w:rsidRPr="001B2A11" w:rsidTr="005167DC">
        <w:tc>
          <w:tcPr>
            <w:tcW w:w="540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2884" w:type="dxa"/>
            <w:shd w:val="clear" w:color="auto" w:fill="auto"/>
          </w:tcPr>
          <w:p w:rsidR="005167DC" w:rsidRPr="002F0986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3961" w:type="dxa"/>
            <w:shd w:val="clear" w:color="auto" w:fill="auto"/>
          </w:tcPr>
          <w:p w:rsidR="005167DC" w:rsidRPr="002F0986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23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1969900</w:t>
            </w:r>
          </w:p>
        </w:tc>
        <w:tc>
          <w:tcPr>
            <w:tcW w:w="1115" w:type="dxa"/>
            <w:shd w:val="clear" w:color="auto" w:fill="auto"/>
          </w:tcPr>
          <w:p w:rsidR="005167DC" w:rsidRPr="001B2A11" w:rsidRDefault="00991645" w:rsidP="0099164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1350900</w:t>
            </w:r>
          </w:p>
        </w:tc>
        <w:tc>
          <w:tcPr>
            <w:tcW w:w="1099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1400000</w:t>
            </w:r>
          </w:p>
        </w:tc>
        <w:tc>
          <w:tcPr>
            <w:tcW w:w="1056" w:type="dxa"/>
            <w:shd w:val="clear" w:color="auto" w:fill="auto"/>
          </w:tcPr>
          <w:p w:rsidR="005167DC" w:rsidRDefault="005167DC" w:rsidP="005167DC">
            <w:r w:rsidRPr="008C6D9E">
              <w:rPr>
                <w:rFonts w:cs="Calibri"/>
              </w:rPr>
              <w:t>1400000</w:t>
            </w:r>
          </w:p>
        </w:tc>
        <w:tc>
          <w:tcPr>
            <w:tcW w:w="1056" w:type="dxa"/>
          </w:tcPr>
          <w:p w:rsidR="005167DC" w:rsidRDefault="005167DC" w:rsidP="005167DC">
            <w:r w:rsidRPr="008C6D9E">
              <w:rPr>
                <w:rFonts w:cs="Calibri"/>
              </w:rPr>
              <w:t>1400000</w:t>
            </w: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2884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3961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3.</w:t>
            </w:r>
          </w:p>
        </w:tc>
        <w:tc>
          <w:tcPr>
            <w:tcW w:w="2884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3961" w:type="dxa"/>
            <w:shd w:val="clear" w:color="auto" w:fill="auto"/>
          </w:tcPr>
          <w:p w:rsidR="00A674B0" w:rsidRPr="00547D04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167DC" w:rsidRPr="001B2A11" w:rsidTr="005167DC">
        <w:tc>
          <w:tcPr>
            <w:tcW w:w="540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4.</w:t>
            </w:r>
          </w:p>
        </w:tc>
        <w:tc>
          <w:tcPr>
            <w:tcW w:w="2884" w:type="dxa"/>
            <w:shd w:val="clear" w:color="auto" w:fill="auto"/>
          </w:tcPr>
          <w:p w:rsidR="005167DC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961" w:type="dxa"/>
            <w:shd w:val="clear" w:color="auto" w:fill="auto"/>
          </w:tcPr>
          <w:p w:rsidR="005167DC" w:rsidRPr="00547D04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23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18000</w:t>
            </w:r>
          </w:p>
        </w:tc>
        <w:tc>
          <w:tcPr>
            <w:tcW w:w="1115" w:type="dxa"/>
            <w:shd w:val="clear" w:color="auto" w:fill="auto"/>
          </w:tcPr>
          <w:p w:rsidR="005167DC" w:rsidRPr="001B2A11" w:rsidRDefault="00F04436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17500</w:t>
            </w:r>
          </w:p>
        </w:tc>
        <w:tc>
          <w:tcPr>
            <w:tcW w:w="1099" w:type="dxa"/>
            <w:shd w:val="clear" w:color="auto" w:fill="auto"/>
          </w:tcPr>
          <w:p w:rsidR="005167DC" w:rsidRDefault="005167DC" w:rsidP="005167DC">
            <w:r w:rsidRPr="00C207BE">
              <w:rPr>
                <w:rFonts w:cs="Calibri"/>
              </w:rPr>
              <w:t>19000</w:t>
            </w:r>
          </w:p>
        </w:tc>
        <w:tc>
          <w:tcPr>
            <w:tcW w:w="1056" w:type="dxa"/>
            <w:shd w:val="clear" w:color="auto" w:fill="auto"/>
          </w:tcPr>
          <w:p w:rsidR="005167DC" w:rsidRDefault="005167DC" w:rsidP="005167DC">
            <w:r w:rsidRPr="00C207BE">
              <w:rPr>
                <w:rFonts w:cs="Calibri"/>
              </w:rPr>
              <w:t>19000</w:t>
            </w:r>
          </w:p>
        </w:tc>
        <w:tc>
          <w:tcPr>
            <w:tcW w:w="1056" w:type="dxa"/>
          </w:tcPr>
          <w:p w:rsidR="005167DC" w:rsidRDefault="005167DC" w:rsidP="005167DC">
            <w:r w:rsidRPr="00C207BE">
              <w:rPr>
                <w:rFonts w:cs="Calibri"/>
              </w:rPr>
              <w:t>19000</w:t>
            </w: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884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3961" w:type="dxa"/>
            <w:shd w:val="clear" w:color="auto" w:fill="auto"/>
          </w:tcPr>
          <w:p w:rsidR="00A674B0" w:rsidRPr="00547D04" w:rsidRDefault="00A674B0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23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674B0" w:rsidRPr="001B2A11" w:rsidTr="005167DC">
        <w:tc>
          <w:tcPr>
            <w:tcW w:w="14525" w:type="dxa"/>
            <w:gridSpan w:val="9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  <w:tc>
          <w:tcPr>
            <w:tcW w:w="1056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2884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 xml:space="preserve">ежевание и осуществление государственного кадастрового учета </w:t>
            </w:r>
            <w:r w:rsidRPr="002F0986">
              <w:lastRenderedPageBreak/>
              <w:t>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3961" w:type="dxa"/>
            <w:shd w:val="clear" w:color="auto" w:fill="auto"/>
          </w:tcPr>
          <w:p w:rsidR="00A674B0" w:rsidRPr="00547D04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lastRenderedPageBreak/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288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3961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2100900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1987900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991645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1368400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5167DC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1419000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5167D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1419000</w:t>
            </w:r>
          </w:p>
        </w:tc>
        <w:tc>
          <w:tcPr>
            <w:tcW w:w="1056" w:type="dxa"/>
          </w:tcPr>
          <w:p w:rsidR="00A674B0" w:rsidRDefault="005167D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1419000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AF01A3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7B4721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A7" w:rsidRDefault="00C657A7" w:rsidP="00563ADD">
      <w:r>
        <w:separator/>
      </w:r>
    </w:p>
  </w:endnote>
  <w:endnote w:type="continuationSeparator" w:id="0">
    <w:p w:rsidR="00C657A7" w:rsidRDefault="00C657A7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657A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7AF2">
      <w:rPr>
        <w:rStyle w:val="aa"/>
        <w:noProof/>
      </w:rPr>
      <w:t>2</w:t>
    </w:r>
    <w:r>
      <w:rPr>
        <w:rStyle w:val="aa"/>
      </w:rPr>
      <w:fldChar w:fldCharType="end"/>
    </w:r>
  </w:p>
  <w:p w:rsidR="005B5232" w:rsidRDefault="00C657A7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A7" w:rsidRDefault="00C657A7" w:rsidP="00563ADD">
      <w:r>
        <w:separator/>
      </w:r>
    </w:p>
  </w:footnote>
  <w:footnote w:type="continuationSeparator" w:id="0">
    <w:p w:rsidR="00C657A7" w:rsidRDefault="00C657A7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734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4C0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4AD9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47B8D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E62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2DB4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61F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0CE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54C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AF2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67DC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4CAF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0F33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3D92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3AB1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1BBC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89E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4B2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21E"/>
    <w:rsid w:val="00715E42"/>
    <w:rsid w:val="00717259"/>
    <w:rsid w:val="00717D73"/>
    <w:rsid w:val="00720123"/>
    <w:rsid w:val="007209F7"/>
    <w:rsid w:val="007223A0"/>
    <w:rsid w:val="0072386E"/>
    <w:rsid w:val="00723CB5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5A37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1EC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AC7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374B0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5BF0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28D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645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823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674B0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B73F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1A3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2A5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666D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57A7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3F57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135D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436"/>
    <w:rsid w:val="00F047E3"/>
    <w:rsid w:val="00F05731"/>
    <w:rsid w:val="00F07991"/>
    <w:rsid w:val="00F07B89"/>
    <w:rsid w:val="00F07C07"/>
    <w:rsid w:val="00F108B1"/>
    <w:rsid w:val="00F11273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242A-DD01-4CA8-869D-CCE98499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0DE6D2-71F4-401C-B463-32E76ABC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2023-12-27T11:14:00Z</cp:lastPrinted>
  <dcterms:created xsi:type="dcterms:W3CDTF">2024-01-11T10:14:00Z</dcterms:created>
  <dcterms:modified xsi:type="dcterms:W3CDTF">2024-01-11T10:14:00Z</dcterms:modified>
</cp:coreProperties>
</file>