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C3D92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</w:t>
      </w:r>
      <w:r w:rsidR="005C3D92">
        <w:rPr>
          <w:b/>
          <w:caps/>
          <w:sz w:val="20"/>
        </w:rPr>
        <w:t>июл</w:t>
      </w:r>
      <w:r w:rsidR="0097728D">
        <w:rPr>
          <w:b/>
          <w:caps/>
          <w:sz w:val="20"/>
        </w:rPr>
        <w:t>я</w:t>
      </w:r>
      <w:r>
        <w:rPr>
          <w:b/>
          <w:caps/>
          <w:sz w:val="20"/>
        </w:rPr>
        <w:t xml:space="preserve"> </w:t>
      </w:r>
      <w:r w:rsidR="000A14C0">
        <w:rPr>
          <w:b/>
          <w:caps/>
          <w:sz w:val="20"/>
        </w:rPr>
        <w:t xml:space="preserve"> 20</w:t>
      </w:r>
      <w:r w:rsidR="0078337A">
        <w:rPr>
          <w:b/>
          <w:caps/>
          <w:sz w:val="20"/>
        </w:rPr>
        <w:t>2</w:t>
      </w:r>
      <w:r w:rsidR="000A14C0">
        <w:rPr>
          <w:b/>
          <w:caps/>
          <w:sz w:val="20"/>
        </w:rPr>
        <w:t>3</w:t>
      </w:r>
      <w:r>
        <w:rPr>
          <w:b/>
          <w:caps/>
          <w:sz w:val="20"/>
        </w:rPr>
        <w:t xml:space="preserve">  г.  </w:t>
      </w:r>
      <w:r w:rsidR="005C3D92">
        <w:rPr>
          <w:b/>
          <w:caps/>
          <w:sz w:val="20"/>
          <w:u w:val="single"/>
        </w:rPr>
        <w:t>№80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6000FF">
        <w:rPr>
          <w:b/>
          <w:sz w:val="28"/>
          <w:szCs w:val="28"/>
        </w:rPr>
        <w:t xml:space="preserve"> на  2021-2025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Default="004F6A26" w:rsidP="006000FF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2021-2025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5C3D92" w:rsidRDefault="005C3D92" w:rsidP="005C3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наименование постановления изложить в следующей редакции:</w:t>
      </w:r>
    </w:p>
    <w:p w:rsidR="005C3D92" w:rsidRPr="005C3D92" w:rsidRDefault="005C3D92" w:rsidP="005C3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3D92">
        <w:rPr>
          <w:sz w:val="28"/>
          <w:szCs w:val="28"/>
        </w:rPr>
        <w:t>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2021-2026 годы»;</w:t>
      </w:r>
    </w:p>
    <w:p w:rsidR="005C3D92" w:rsidRDefault="005C3D92" w:rsidP="005C3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пункт 1 постановления изложить в следующей редакции:</w:t>
      </w:r>
    </w:p>
    <w:p w:rsidR="005C3D92" w:rsidRDefault="005C3D92" w:rsidP="005C3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="003870CE" w:rsidRPr="005C3D92">
        <w:rPr>
          <w:sz w:val="28"/>
          <w:szCs w:val="28"/>
        </w:rPr>
        <w:t>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2021-2026 годы</w:t>
      </w:r>
      <w:r>
        <w:rPr>
          <w:sz w:val="28"/>
          <w:szCs w:val="28"/>
        </w:rPr>
        <w:t>»;</w:t>
      </w:r>
    </w:p>
    <w:p w:rsidR="005C3D92" w:rsidRPr="006000FF" w:rsidRDefault="005C3D92" w:rsidP="006000FF">
      <w:pPr>
        <w:spacing w:line="276" w:lineRule="auto"/>
        <w:ind w:firstLine="360"/>
        <w:jc w:val="both"/>
        <w:rPr>
          <w:sz w:val="28"/>
          <w:szCs w:val="28"/>
        </w:rPr>
      </w:pPr>
    </w:p>
    <w:p w:rsidR="00424FD4" w:rsidRPr="006000FF" w:rsidRDefault="0062689E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C04BA0">
        <w:rPr>
          <w:sz w:val="28"/>
          <w:szCs w:val="28"/>
        </w:rPr>
        <w:t xml:space="preserve">. Приложение </w:t>
      </w:r>
      <w:r w:rsidR="00424FD4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62689E" w:rsidP="004F6A2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главы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proofErr w:type="spellStart"/>
      <w:r w:rsidR="0062689E">
        <w:rPr>
          <w:color w:val="000000"/>
          <w:sz w:val="28"/>
          <w:szCs w:val="28"/>
        </w:rPr>
        <w:t>Л.В.Филякина</w:t>
      </w:r>
      <w:proofErr w:type="spellEnd"/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82FBA">
        <w:rPr>
          <w:b/>
        </w:rPr>
        <w:t>«</w:t>
      </w:r>
      <w:r w:rsidR="003870CE">
        <w:rPr>
          <w:b/>
        </w:rPr>
        <w:t>17</w:t>
      </w:r>
      <w:r w:rsidR="00705A84">
        <w:rPr>
          <w:b/>
        </w:rPr>
        <w:t xml:space="preserve">» </w:t>
      </w:r>
      <w:r w:rsidR="00D06A64">
        <w:rPr>
          <w:b/>
        </w:rPr>
        <w:t xml:space="preserve"> </w:t>
      </w:r>
      <w:r w:rsidR="003870CE">
        <w:rPr>
          <w:b/>
          <w:u w:val="single"/>
        </w:rPr>
        <w:t>июл</w:t>
      </w:r>
      <w:r w:rsidR="0097728D">
        <w:rPr>
          <w:b/>
          <w:u w:val="single"/>
        </w:rPr>
        <w:t>я</w:t>
      </w:r>
      <w:r w:rsidR="00AB73FC">
        <w:rPr>
          <w:b/>
          <w:u w:val="single"/>
        </w:rPr>
        <w:t xml:space="preserve"> </w:t>
      </w:r>
      <w:r w:rsidR="0097728D">
        <w:rPr>
          <w:b/>
        </w:rPr>
        <w:t>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3870CE">
        <w:rPr>
          <w:b/>
          <w:u w:val="single"/>
        </w:rPr>
        <w:t>80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3870CE" w:rsidP="00705A84">
      <w:pPr>
        <w:jc w:val="right"/>
        <w:rPr>
          <w:b/>
        </w:rPr>
      </w:pPr>
      <w:r>
        <w:rPr>
          <w:b/>
        </w:rPr>
        <w:t>Самарской области на 2021 – 2026</w:t>
      </w:r>
      <w:r w:rsidR="00705A84" w:rsidRPr="008C1FF9">
        <w:rPr>
          <w:b/>
        </w:rPr>
        <w:t xml:space="preserve">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 w:rsidR="003870CE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C30713" w:rsidRDefault="00705A84" w:rsidP="007B4721">
      <w:pPr>
        <w:rPr>
          <w:b/>
          <w:caps/>
          <w:sz w:val="28"/>
          <w:szCs w:val="28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</w:t>
            </w:r>
            <w:r w:rsidR="00A674B0">
              <w:rPr>
                <w:sz w:val="28"/>
                <w:szCs w:val="28"/>
              </w:rPr>
              <w:t>й Самарской области на 2021-2026</w:t>
            </w:r>
            <w:r>
              <w:rPr>
                <w:sz w:val="28"/>
                <w:szCs w:val="28"/>
              </w:rPr>
              <w:t xml:space="preserve">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C30713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A674B0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705A84">
              <w:rPr>
                <w:sz w:val="28"/>
                <w:szCs w:val="28"/>
              </w:rPr>
              <w:t xml:space="preserve"> г. </w:t>
            </w:r>
            <w:r w:rsidR="00705A84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E059A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BE059A">
              <w:rPr>
                <w:sz w:val="28"/>
                <w:szCs w:val="28"/>
              </w:rPr>
              <w:t xml:space="preserve">                    </w:t>
            </w:r>
            <w:r w:rsidR="003870CE">
              <w:rPr>
                <w:sz w:val="28"/>
                <w:szCs w:val="28"/>
              </w:rPr>
              <w:t>8995</w:t>
            </w:r>
            <w:r w:rsidR="0097728D">
              <w:rPr>
                <w:sz w:val="28"/>
                <w:szCs w:val="28"/>
              </w:rPr>
              <w:t xml:space="preserve">,1 </w:t>
            </w:r>
            <w:r w:rsidR="00582FB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из них   2021 – </w:t>
            </w:r>
            <w:r w:rsidR="00B75E1F">
              <w:rPr>
                <w:sz w:val="28"/>
                <w:szCs w:val="28"/>
              </w:rPr>
              <w:t>2</w:t>
            </w:r>
            <w:r w:rsidR="007B1D4C">
              <w:rPr>
                <w:sz w:val="28"/>
                <w:szCs w:val="28"/>
              </w:rPr>
              <w:t>100,9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BE05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2022 – </w:t>
            </w:r>
            <w:r w:rsidR="00AB73FC">
              <w:rPr>
                <w:sz w:val="28"/>
                <w:szCs w:val="28"/>
              </w:rPr>
              <w:t>1987,9</w:t>
            </w:r>
            <w:r w:rsidR="00582FB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 w:rsidR="00387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2023 – </w:t>
            </w:r>
            <w:r w:rsidR="0097728D">
              <w:rPr>
                <w:sz w:val="28"/>
                <w:szCs w:val="28"/>
              </w:rPr>
              <w:t xml:space="preserve">1026,3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 w:rsidR="00387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</w:p>
          <w:p w:rsidR="003870CE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>,0 тыс. руб</w:t>
            </w:r>
            <w:r w:rsidR="00387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="00BE059A">
              <w:rPr>
                <w:sz w:val="28"/>
                <w:szCs w:val="28"/>
              </w:rPr>
              <w:t>2025 – 15</w:t>
            </w:r>
            <w:r w:rsidR="003870CE">
              <w:rPr>
                <w:sz w:val="28"/>
                <w:szCs w:val="28"/>
              </w:rPr>
              <w:t xml:space="preserve">00,0 тыс. руб., </w:t>
            </w:r>
          </w:p>
          <w:p w:rsidR="00705A84" w:rsidRDefault="003870CE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– 1650,0 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 w:rsidR="00A674B0">
              <w:rPr>
                <w:sz w:val="28"/>
                <w:szCs w:val="28"/>
              </w:rPr>
              <w:t>д 2021-2026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C30713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B4721" w:rsidRPr="00C30713" w:rsidRDefault="007B4721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создание системы взаимоувязанных правовых актов и эффективного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>выделяемых бюджетных сре</w:t>
      </w:r>
      <w:proofErr w:type="gramStart"/>
      <w:r>
        <w:rPr>
          <w:sz w:val="28"/>
          <w:szCs w:val="28"/>
        </w:rPr>
        <w:t xml:space="preserve">дств </w:t>
      </w:r>
      <w:r w:rsidRPr="00B33EB4">
        <w:rPr>
          <w:sz w:val="28"/>
          <w:szCs w:val="28"/>
        </w:rPr>
        <w:t>дл</w:t>
      </w:r>
      <w:proofErr w:type="gramEnd"/>
      <w:r w:rsidRPr="00B33EB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</w:t>
      </w:r>
      <w:proofErr w:type="gramStart"/>
      <w:r>
        <w:rPr>
          <w:b/>
          <w:sz w:val="28"/>
          <w:szCs w:val="28"/>
        </w:rPr>
        <w:t>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 w:rsidR="00A674B0">
        <w:rPr>
          <w:sz w:val="28"/>
          <w:szCs w:val="28"/>
        </w:rPr>
        <w:t>26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Сроки  и</w:t>
      </w:r>
      <w:proofErr w:type="gramEnd"/>
      <w:r>
        <w:rPr>
          <w:b/>
          <w:sz w:val="28"/>
          <w:szCs w:val="28"/>
        </w:rPr>
        <w:t xml:space="preserve">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A674B0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364"/>
        <w:gridCol w:w="1418"/>
        <w:gridCol w:w="1288"/>
        <w:gridCol w:w="1139"/>
        <w:gridCol w:w="1004"/>
        <w:gridCol w:w="1004"/>
        <w:gridCol w:w="1004"/>
        <w:gridCol w:w="907"/>
      </w:tblGrid>
      <w:tr w:rsidR="00A674B0" w:rsidRPr="00242228" w:rsidTr="003358B3">
        <w:trPr>
          <w:trHeight w:val="480"/>
        </w:trPr>
        <w:tc>
          <w:tcPr>
            <w:tcW w:w="576" w:type="dxa"/>
            <w:vMerge w:val="restart"/>
          </w:tcPr>
          <w:p w:rsidR="00A674B0" w:rsidRPr="00242228" w:rsidRDefault="00A674B0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№ </w:t>
            </w:r>
            <w:proofErr w:type="gramStart"/>
            <w:r w:rsidRPr="00242228">
              <w:rPr>
                <w:b/>
              </w:rPr>
              <w:t>п</w:t>
            </w:r>
            <w:proofErr w:type="gramEnd"/>
            <w:r w:rsidRPr="00242228">
              <w:rPr>
                <w:b/>
              </w:rPr>
              <w:t>/п</w:t>
            </w:r>
          </w:p>
        </w:tc>
        <w:tc>
          <w:tcPr>
            <w:tcW w:w="2364" w:type="dxa"/>
            <w:vMerge w:val="restart"/>
          </w:tcPr>
          <w:p w:rsidR="00A674B0" w:rsidRPr="00242228" w:rsidRDefault="00A674B0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vMerge w:val="restart"/>
          </w:tcPr>
          <w:p w:rsidR="00A674B0" w:rsidRPr="00242228" w:rsidRDefault="00A674B0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6346" w:type="dxa"/>
            <w:gridSpan w:val="6"/>
          </w:tcPr>
          <w:p w:rsidR="00A674B0" w:rsidRPr="00242228" w:rsidRDefault="00A674B0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A674B0" w:rsidRPr="00C5676F" w:rsidTr="003C4608">
        <w:trPr>
          <w:trHeight w:val="353"/>
        </w:trPr>
        <w:tc>
          <w:tcPr>
            <w:tcW w:w="576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2364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418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288" w:type="dxa"/>
            <w:vMerge w:val="restart"/>
          </w:tcPr>
          <w:p w:rsidR="00A674B0" w:rsidRPr="00CD51CD" w:rsidRDefault="00A674B0" w:rsidP="00FF53B4">
            <w:pPr>
              <w:pStyle w:val="af0"/>
              <w:jc w:val="center"/>
            </w:pPr>
            <w:r w:rsidRPr="00CD51CD">
              <w:t>Отчет</w:t>
            </w:r>
          </w:p>
          <w:p w:rsidR="00A674B0" w:rsidRPr="00C5676F" w:rsidRDefault="00A674B0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5058" w:type="dxa"/>
            <w:gridSpan w:val="5"/>
          </w:tcPr>
          <w:p w:rsidR="00A674B0" w:rsidRDefault="00A674B0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A674B0" w:rsidRPr="00C5676F" w:rsidTr="00A674B0">
        <w:trPr>
          <w:trHeight w:val="352"/>
        </w:trPr>
        <w:tc>
          <w:tcPr>
            <w:tcW w:w="576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2364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418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288" w:type="dxa"/>
            <w:vMerge/>
          </w:tcPr>
          <w:p w:rsidR="00A674B0" w:rsidRDefault="00A674B0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04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04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04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A674B0" w:rsidRDefault="00A674B0" w:rsidP="00FF53B4">
            <w:pPr>
              <w:pStyle w:val="af0"/>
              <w:jc w:val="center"/>
            </w:pPr>
            <w:r>
              <w:t>2026</w:t>
            </w:r>
          </w:p>
        </w:tc>
      </w:tr>
      <w:tr w:rsidR="00A674B0" w:rsidRPr="00B60858" w:rsidTr="00597080">
        <w:tc>
          <w:tcPr>
            <w:tcW w:w="10704" w:type="dxa"/>
            <w:gridSpan w:val="9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A674B0" w:rsidRPr="00B60858" w:rsidTr="004F6003">
        <w:tc>
          <w:tcPr>
            <w:tcW w:w="10704" w:type="dxa"/>
            <w:gridSpan w:val="9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A674B0" w:rsidRPr="00B60858" w:rsidTr="00A674B0">
        <w:tc>
          <w:tcPr>
            <w:tcW w:w="576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364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18" w:type="dxa"/>
          </w:tcPr>
          <w:p w:rsidR="00A674B0" w:rsidRPr="00242228" w:rsidRDefault="00A674B0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288" w:type="dxa"/>
          </w:tcPr>
          <w:p w:rsidR="00A674B0" w:rsidRPr="00B60858" w:rsidRDefault="00A674B0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9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" w:type="dxa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74B0" w:rsidRPr="00B60858" w:rsidTr="00A674B0">
        <w:tc>
          <w:tcPr>
            <w:tcW w:w="576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364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18" w:type="dxa"/>
          </w:tcPr>
          <w:p w:rsidR="00A674B0" w:rsidRPr="00242228" w:rsidRDefault="00A674B0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288" w:type="dxa"/>
          </w:tcPr>
          <w:p w:rsidR="00A674B0" w:rsidRPr="00B60858" w:rsidRDefault="00A674B0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9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07" w:type="dxa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proofErr w:type="gramStart"/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  <w:proofErr w:type="gramEnd"/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обеспечить гибкую систему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 xml:space="preserve">- инвентаризация имущества, переданного в оперативное управление с целью обеспечения </w:t>
      </w:r>
      <w:proofErr w:type="gramStart"/>
      <w:r w:rsidRPr="00811751">
        <w:rPr>
          <w:sz w:val="28"/>
          <w:szCs w:val="28"/>
        </w:rPr>
        <w:t>контроля за</w:t>
      </w:r>
      <w:proofErr w:type="gramEnd"/>
      <w:r w:rsidRPr="00811751">
        <w:rPr>
          <w:sz w:val="28"/>
          <w:szCs w:val="28"/>
        </w:rPr>
        <w:t xml:space="preserve">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  <w:proofErr w:type="gramEnd"/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усиление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E059A" w:rsidRDefault="00BE05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 программы составляет:</w:t>
      </w:r>
    </w:p>
    <w:p w:rsidR="00BE059A" w:rsidRDefault="006B73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74B0">
        <w:rPr>
          <w:sz w:val="28"/>
          <w:szCs w:val="28"/>
        </w:rPr>
        <w:t>8995</w:t>
      </w:r>
      <w:r w:rsidR="0097728D">
        <w:rPr>
          <w:sz w:val="28"/>
          <w:szCs w:val="28"/>
        </w:rPr>
        <w:t>,1</w:t>
      </w:r>
      <w:r w:rsidR="00582FBA">
        <w:rPr>
          <w:sz w:val="28"/>
          <w:szCs w:val="28"/>
        </w:rPr>
        <w:t xml:space="preserve"> </w:t>
      </w:r>
      <w:proofErr w:type="spellStart"/>
      <w:r w:rsidR="00BE059A">
        <w:rPr>
          <w:sz w:val="28"/>
          <w:szCs w:val="28"/>
        </w:rPr>
        <w:t>тыс</w:t>
      </w:r>
      <w:proofErr w:type="gramStart"/>
      <w:r w:rsidR="00BE059A">
        <w:rPr>
          <w:sz w:val="28"/>
          <w:szCs w:val="28"/>
        </w:rPr>
        <w:t>.р</w:t>
      </w:r>
      <w:proofErr w:type="gramEnd"/>
      <w:r w:rsidR="00BE059A">
        <w:rPr>
          <w:sz w:val="28"/>
          <w:szCs w:val="28"/>
        </w:rPr>
        <w:t>уб</w:t>
      </w:r>
      <w:proofErr w:type="spellEnd"/>
      <w:r w:rsidR="00BE059A">
        <w:rPr>
          <w:sz w:val="28"/>
          <w:szCs w:val="28"/>
        </w:rPr>
        <w:t xml:space="preserve">., из них   2021 – </w:t>
      </w:r>
      <w:r w:rsidR="007B1D4C">
        <w:rPr>
          <w:sz w:val="28"/>
          <w:szCs w:val="28"/>
        </w:rPr>
        <w:t>2100,9</w:t>
      </w:r>
      <w:r w:rsidR="00BE059A">
        <w:rPr>
          <w:sz w:val="28"/>
          <w:szCs w:val="28"/>
        </w:rPr>
        <w:t xml:space="preserve"> </w:t>
      </w:r>
      <w:proofErr w:type="spellStart"/>
      <w:r w:rsidR="00BE059A">
        <w:rPr>
          <w:sz w:val="28"/>
          <w:szCs w:val="28"/>
        </w:rPr>
        <w:t>тыс.руб</w:t>
      </w:r>
      <w:proofErr w:type="spellEnd"/>
      <w:r w:rsidR="00BE059A">
        <w:rPr>
          <w:sz w:val="28"/>
          <w:szCs w:val="28"/>
        </w:rPr>
        <w:t xml:space="preserve">.,  2022 – </w:t>
      </w:r>
      <w:r w:rsidR="001F4E62">
        <w:rPr>
          <w:sz w:val="28"/>
          <w:szCs w:val="28"/>
        </w:rPr>
        <w:t>1987,9</w:t>
      </w:r>
      <w:r w:rsidR="00BE059A">
        <w:rPr>
          <w:sz w:val="28"/>
          <w:szCs w:val="28"/>
        </w:rPr>
        <w:t xml:space="preserve"> </w:t>
      </w:r>
      <w:proofErr w:type="spellStart"/>
      <w:r w:rsidR="00BE059A">
        <w:rPr>
          <w:sz w:val="28"/>
          <w:szCs w:val="28"/>
        </w:rPr>
        <w:t>тыс.руб</w:t>
      </w:r>
      <w:proofErr w:type="spellEnd"/>
      <w:r w:rsidR="00BE05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</w:t>
      </w:r>
      <w:r w:rsidR="00BE059A">
        <w:rPr>
          <w:sz w:val="28"/>
          <w:szCs w:val="28"/>
        </w:rPr>
        <w:t xml:space="preserve">2023 – </w:t>
      </w:r>
      <w:r w:rsidR="00F11273">
        <w:rPr>
          <w:sz w:val="28"/>
          <w:szCs w:val="28"/>
        </w:rPr>
        <w:t xml:space="preserve">1026,3 </w:t>
      </w:r>
      <w:r>
        <w:rPr>
          <w:sz w:val="28"/>
          <w:szCs w:val="28"/>
        </w:rPr>
        <w:t xml:space="preserve"> </w:t>
      </w:r>
      <w:proofErr w:type="spellStart"/>
      <w:r w:rsidR="00BE059A">
        <w:rPr>
          <w:sz w:val="28"/>
          <w:szCs w:val="28"/>
        </w:rPr>
        <w:t>тыс.руб</w:t>
      </w:r>
      <w:proofErr w:type="spellEnd"/>
      <w:r w:rsidR="00BE05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2024 – 730,0 тыс. </w:t>
      </w:r>
      <w:proofErr w:type="spellStart"/>
      <w:r w:rsidR="00BE059A">
        <w:rPr>
          <w:sz w:val="28"/>
          <w:szCs w:val="28"/>
        </w:rPr>
        <w:t>руб</w:t>
      </w:r>
      <w:proofErr w:type="spellEnd"/>
      <w:r w:rsidR="00BE059A">
        <w:rPr>
          <w:sz w:val="28"/>
          <w:szCs w:val="28"/>
        </w:rPr>
        <w:t xml:space="preserve">, 2025 – 1500,0 тыс. </w:t>
      </w:r>
      <w:proofErr w:type="spellStart"/>
      <w:r w:rsidR="00BE059A">
        <w:rPr>
          <w:sz w:val="28"/>
          <w:szCs w:val="28"/>
        </w:rPr>
        <w:t>руб</w:t>
      </w:r>
      <w:proofErr w:type="spellEnd"/>
      <w:r w:rsidR="00A674B0">
        <w:rPr>
          <w:sz w:val="28"/>
          <w:szCs w:val="28"/>
        </w:rPr>
        <w:t>, 2026 – 1650 тыс. руб.</w:t>
      </w:r>
      <w:r w:rsidR="00BE059A">
        <w:rPr>
          <w:sz w:val="28"/>
          <w:szCs w:val="28"/>
        </w:rPr>
        <w:t>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     </w:t>
      </w:r>
      <w:proofErr w:type="gramStart"/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A674B0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705A84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 xml:space="preserve">ИСПОЛЬЗОВАНИЯ МУНИЦИПАЛЬНОГО ИМУЩЕСТВА СЕЛЬСКОГО ПОСЕЛЕНИЯ ФРУНЗЕНСКОЕ МУНИЦИПАЛЬНОГО РАЙОНА БОЛЬШЕГЛУШИЦКИЙ САМАРСКОЙ </w:t>
      </w:r>
      <w:r w:rsidR="00A674B0">
        <w:rPr>
          <w:rStyle w:val="ad"/>
        </w:rPr>
        <w:t>ОБЛАСТИ  НА 2021 – 2026</w:t>
      </w:r>
      <w:r>
        <w:rPr>
          <w:rStyle w:val="ad"/>
        </w:rPr>
        <w:t xml:space="preserve">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41"/>
        <w:gridCol w:w="4102"/>
        <w:gridCol w:w="1538"/>
        <w:gridCol w:w="1120"/>
        <w:gridCol w:w="1236"/>
        <w:gridCol w:w="1120"/>
        <w:gridCol w:w="1098"/>
        <w:gridCol w:w="1056"/>
        <w:gridCol w:w="1056"/>
      </w:tblGrid>
      <w:tr w:rsidR="00A674B0" w:rsidRPr="001B2A11" w:rsidTr="00EE08BF">
        <w:tc>
          <w:tcPr>
            <w:tcW w:w="540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proofErr w:type="gramStart"/>
            <w:r w:rsidRPr="001B2A11">
              <w:rPr>
                <w:rFonts w:cs="Calibri"/>
              </w:rPr>
              <w:t>п</w:t>
            </w:r>
            <w:proofErr w:type="gramEnd"/>
            <w:r w:rsidRPr="001B2A11">
              <w:rPr>
                <w:rFonts w:cs="Calibri"/>
              </w:rPr>
              <w:t>/п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4176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6577" w:type="dxa"/>
            <w:gridSpan w:val="6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A674B0" w:rsidRPr="001B2A11" w:rsidTr="00A674B0">
        <w:tc>
          <w:tcPr>
            <w:tcW w:w="540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4176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4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104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  <w:tc>
          <w:tcPr>
            <w:tcW w:w="930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2026</w:t>
            </w:r>
          </w:p>
        </w:tc>
      </w:tr>
      <w:tr w:rsidR="00A674B0" w:rsidRPr="001B2A11" w:rsidTr="00E94077">
        <w:tc>
          <w:tcPr>
            <w:tcW w:w="15807" w:type="dxa"/>
            <w:gridSpan w:val="10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A674B0" w:rsidRPr="001B2A11" w:rsidTr="00B30B78">
        <w:tc>
          <w:tcPr>
            <w:tcW w:w="15807" w:type="dxa"/>
            <w:gridSpan w:val="10"/>
            <w:shd w:val="clear" w:color="auto" w:fill="auto"/>
          </w:tcPr>
          <w:p w:rsidR="00A674B0" w:rsidRPr="001B2A11" w:rsidRDefault="00A674B0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A674B0" w:rsidRPr="00A3131C" w:rsidRDefault="00A674B0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A674B0" w:rsidRPr="001B2A11" w:rsidTr="00A674B0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4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1508300</w:t>
            </w:r>
          </w:p>
        </w:tc>
        <w:tc>
          <w:tcPr>
            <w:tcW w:w="1243" w:type="dxa"/>
            <w:shd w:val="clear" w:color="auto" w:fill="auto"/>
          </w:tcPr>
          <w:p w:rsidR="00A674B0" w:rsidRPr="001B2A11" w:rsidRDefault="00A674B0" w:rsidP="00774B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1969900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1007300</w:t>
            </w:r>
          </w:p>
        </w:tc>
        <w:tc>
          <w:tcPr>
            <w:tcW w:w="1104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700000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1467000</w:t>
            </w:r>
          </w:p>
        </w:tc>
        <w:tc>
          <w:tcPr>
            <w:tcW w:w="930" w:type="dxa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1613700</w:t>
            </w:r>
          </w:p>
        </w:tc>
      </w:tr>
      <w:tr w:rsidR="00A674B0" w:rsidRPr="001B2A11" w:rsidTr="00A674B0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2972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4176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4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930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674B0" w:rsidRPr="001B2A11" w:rsidTr="00A674B0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3.</w:t>
            </w:r>
          </w:p>
        </w:tc>
        <w:tc>
          <w:tcPr>
            <w:tcW w:w="2972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4176" w:type="dxa"/>
            <w:shd w:val="clear" w:color="auto" w:fill="auto"/>
          </w:tcPr>
          <w:p w:rsidR="00A674B0" w:rsidRPr="00547D04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 xml:space="preserve">муниципального района </w:t>
            </w:r>
            <w:r w:rsidRPr="002F0986">
              <w:lastRenderedPageBreak/>
              <w:t>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4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2021-2026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930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674B0" w:rsidRPr="001B2A11" w:rsidTr="00A674B0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4.</w:t>
            </w:r>
          </w:p>
        </w:tc>
        <w:tc>
          <w:tcPr>
            <w:tcW w:w="2972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176" w:type="dxa"/>
            <w:shd w:val="clear" w:color="auto" w:fill="auto"/>
          </w:tcPr>
          <w:p w:rsidR="00A674B0" w:rsidRPr="00547D04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4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21700</w:t>
            </w:r>
          </w:p>
        </w:tc>
        <w:tc>
          <w:tcPr>
            <w:tcW w:w="124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18000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104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930" w:type="dxa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36300</w:t>
            </w:r>
          </w:p>
        </w:tc>
      </w:tr>
      <w:tr w:rsidR="00A674B0" w:rsidRPr="001B2A11" w:rsidTr="00A674B0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972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Предоставление из областного бюджета иных межбюджетных трансфертов бюджету сельского поселения Фрунзенское м.р. Большеглушицкий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4176" w:type="dxa"/>
            <w:shd w:val="clear" w:color="auto" w:fill="auto"/>
          </w:tcPr>
          <w:p w:rsidR="00A674B0" w:rsidRPr="00547D04" w:rsidRDefault="00A674B0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42" w:type="dxa"/>
            <w:shd w:val="clear" w:color="auto" w:fill="auto"/>
          </w:tcPr>
          <w:p w:rsidR="00A674B0" w:rsidRPr="001B2A11" w:rsidRDefault="00A674B0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570900</w:t>
            </w:r>
          </w:p>
        </w:tc>
        <w:tc>
          <w:tcPr>
            <w:tcW w:w="1243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30" w:type="dxa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674B0" w:rsidRPr="001B2A11" w:rsidTr="00A674B0">
        <w:tc>
          <w:tcPr>
            <w:tcW w:w="14877" w:type="dxa"/>
            <w:gridSpan w:val="9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  <w:tc>
          <w:tcPr>
            <w:tcW w:w="930" w:type="dxa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A674B0" w:rsidRPr="001B2A11" w:rsidTr="00A674B0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2972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 xml:space="preserve">имущества для </w:t>
            </w:r>
            <w:r w:rsidRPr="00256D20">
              <w:lastRenderedPageBreak/>
              <w:t>субъектов МСП</w:t>
            </w:r>
          </w:p>
        </w:tc>
        <w:tc>
          <w:tcPr>
            <w:tcW w:w="4176" w:type="dxa"/>
            <w:shd w:val="clear" w:color="auto" w:fill="auto"/>
          </w:tcPr>
          <w:p w:rsidR="00A674B0" w:rsidRPr="00547D04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lastRenderedPageBreak/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4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930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674B0" w:rsidRPr="001B2A11" w:rsidTr="00A674B0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297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4176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2100900</w:t>
            </w:r>
          </w:p>
        </w:tc>
        <w:tc>
          <w:tcPr>
            <w:tcW w:w="1243" w:type="dxa"/>
            <w:shd w:val="clear" w:color="auto" w:fill="auto"/>
          </w:tcPr>
          <w:p w:rsidR="00A674B0" w:rsidRPr="001B2A11" w:rsidRDefault="00A674B0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1987900</w:t>
            </w:r>
          </w:p>
        </w:tc>
        <w:tc>
          <w:tcPr>
            <w:tcW w:w="1122" w:type="dxa"/>
            <w:shd w:val="clear" w:color="auto" w:fill="auto"/>
          </w:tcPr>
          <w:p w:rsidR="00A674B0" w:rsidRPr="001B2A11" w:rsidRDefault="00A674B0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1026300</w:t>
            </w:r>
          </w:p>
        </w:tc>
        <w:tc>
          <w:tcPr>
            <w:tcW w:w="1104" w:type="dxa"/>
            <w:shd w:val="clear" w:color="auto" w:fill="auto"/>
          </w:tcPr>
          <w:p w:rsidR="00A674B0" w:rsidRPr="001B2A11" w:rsidRDefault="00A674B0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Pr="001B2A11">
              <w:rPr>
                <w:rFonts w:cs="Calibri"/>
              </w:rPr>
              <w:t>00000</w:t>
            </w:r>
          </w:p>
        </w:tc>
        <w:tc>
          <w:tcPr>
            <w:tcW w:w="930" w:type="dxa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1650000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AF01A3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7B4721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A0" w:rsidRDefault="002860A0" w:rsidP="00563ADD">
      <w:r>
        <w:separator/>
      </w:r>
    </w:p>
  </w:endnote>
  <w:endnote w:type="continuationSeparator" w:id="0">
    <w:p w:rsidR="002860A0" w:rsidRDefault="002860A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860A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7BDB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2860A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A0" w:rsidRDefault="002860A0" w:rsidP="00563ADD">
      <w:r>
        <w:separator/>
      </w:r>
    </w:p>
  </w:footnote>
  <w:footnote w:type="continuationSeparator" w:id="0">
    <w:p w:rsidR="002860A0" w:rsidRDefault="002860A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4C0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4AD9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A7BDB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4E62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0A0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561F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0CE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54C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4CAF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2FBA"/>
    <w:rsid w:val="00583268"/>
    <w:rsid w:val="00583272"/>
    <w:rsid w:val="00584754"/>
    <w:rsid w:val="00584AD2"/>
    <w:rsid w:val="00584E2E"/>
    <w:rsid w:val="00586193"/>
    <w:rsid w:val="005863F4"/>
    <w:rsid w:val="00590759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0F33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3D92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3AB1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89E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4B2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21E"/>
    <w:rsid w:val="00715E42"/>
    <w:rsid w:val="00717259"/>
    <w:rsid w:val="00717D73"/>
    <w:rsid w:val="00720123"/>
    <w:rsid w:val="007209F7"/>
    <w:rsid w:val="007223A0"/>
    <w:rsid w:val="0072386E"/>
    <w:rsid w:val="00723CB5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B83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337A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5A37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D4C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1EC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3AC7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17C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E6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374B0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28D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674B0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B73F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1A3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2A5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666D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A0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2853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273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4647A1E-DC91-4110-875A-187EFF18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2023-07-17T04:34:00Z</cp:lastPrinted>
  <dcterms:created xsi:type="dcterms:W3CDTF">2023-07-26T10:56:00Z</dcterms:created>
  <dcterms:modified xsi:type="dcterms:W3CDTF">2023-07-26T10:56:00Z</dcterms:modified>
</cp:coreProperties>
</file>