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41" w:rsidRPr="00837E18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0"/>
        </w:rPr>
        <w:t xml:space="preserve">Российская Федерация                                     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935641" w:rsidRPr="00CB402C" w:rsidRDefault="00935641" w:rsidP="00935641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</w:t>
      </w:r>
      <w:r w:rsidR="00C153FA">
        <w:rPr>
          <w:b/>
          <w:szCs w:val="24"/>
        </w:rPr>
        <w:t xml:space="preserve">       </w:t>
      </w:r>
      <w:r>
        <w:rPr>
          <w:b/>
          <w:szCs w:val="24"/>
        </w:rPr>
        <w:t xml:space="preserve">  </w:t>
      </w:r>
      <w:r>
        <w:rPr>
          <w:b/>
          <w:caps/>
          <w:sz w:val="16"/>
          <w:szCs w:val="16"/>
        </w:rPr>
        <w:t>от</w:t>
      </w:r>
      <w:r w:rsidR="00C153FA">
        <w:rPr>
          <w:b/>
          <w:caps/>
          <w:sz w:val="20"/>
        </w:rPr>
        <w:t xml:space="preserve">  « 24</w:t>
      </w:r>
      <w:r>
        <w:rPr>
          <w:b/>
          <w:caps/>
          <w:sz w:val="20"/>
        </w:rPr>
        <w:t xml:space="preserve"> »  </w:t>
      </w:r>
      <w:r w:rsidR="00C153FA">
        <w:rPr>
          <w:b/>
          <w:caps/>
          <w:sz w:val="20"/>
          <w:u w:val="single"/>
        </w:rPr>
        <w:t>июля</w:t>
      </w:r>
      <w:r>
        <w:rPr>
          <w:b/>
          <w:caps/>
          <w:sz w:val="20"/>
        </w:rPr>
        <w:t xml:space="preserve">  2018  г.  </w:t>
      </w:r>
      <w:r>
        <w:rPr>
          <w:b/>
          <w:caps/>
          <w:sz w:val="20"/>
          <w:u w:val="single"/>
        </w:rPr>
        <w:t>№</w:t>
      </w:r>
      <w:r w:rsidR="00C153FA">
        <w:rPr>
          <w:b/>
          <w:caps/>
          <w:sz w:val="20"/>
          <w:u w:val="single"/>
        </w:rPr>
        <w:t>37</w:t>
      </w:r>
      <w:r>
        <w:rPr>
          <w:b/>
          <w:caps/>
          <w:sz w:val="20"/>
          <w:u w:val="single"/>
        </w:rPr>
        <w:t xml:space="preserve">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sz w:val="20"/>
        </w:rPr>
      </w:pP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35641" w:rsidRPr="005D07E8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b/>
          <w:sz w:val="28"/>
          <w:szCs w:val="28"/>
        </w:rPr>
        <w:t>«</w:t>
      </w:r>
      <w:r w:rsidR="005D07E8" w:rsidRPr="005D07E8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5D07E8" w:rsidRPr="005D07E8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b/>
          <w:sz w:val="28"/>
          <w:szCs w:val="28"/>
        </w:rPr>
        <w:t>»</w:t>
      </w:r>
    </w:p>
    <w:p w:rsidR="00935641" w:rsidRPr="008221CA" w:rsidRDefault="00935641" w:rsidP="009356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41" w:rsidRDefault="00935641" w:rsidP="00935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B50C51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="005D07E8" w:rsidRPr="005D07E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   </w:t>
      </w:r>
      <w:r w:rsidR="005D07E8">
        <w:rPr>
          <w:rFonts w:ascii="Times New Roman" w:hAnsi="Times New Roman"/>
          <w:sz w:val="28"/>
          <w:szCs w:val="28"/>
        </w:rPr>
        <w:t>№</w:t>
      </w:r>
      <w:r w:rsidR="005D07E8" w:rsidRPr="005D07E8">
        <w:rPr>
          <w:rFonts w:ascii="Times New Roman" w:hAnsi="Times New Roman"/>
          <w:sz w:val="28"/>
          <w:szCs w:val="28"/>
        </w:rPr>
        <w:t>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5D07E8">
        <w:rPr>
          <w:rFonts w:ascii="Times New Roman" w:hAnsi="Times New Roman"/>
          <w:sz w:val="28"/>
          <w:szCs w:val="28"/>
        </w:rPr>
        <w:t xml:space="preserve">, </w:t>
      </w:r>
      <w:r w:rsidR="005D07E8">
        <w:rPr>
          <w:rFonts w:ascii="Times New Roman" w:hAnsi="Times New Roman" w:cs="Times New Roman"/>
          <w:sz w:val="28"/>
          <w:szCs w:val="28"/>
        </w:rPr>
        <w:t>П</w:t>
      </w:r>
      <w:r w:rsidRPr="00B50C5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15.05.2012 г. № 22</w:t>
      </w:r>
      <w:r w:rsidRPr="00B50C5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r w:rsidRPr="00B50C51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B50C51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935641" w:rsidRPr="00712180" w:rsidRDefault="00935641" w:rsidP="009356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7121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564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sz w:val="28"/>
          <w:szCs w:val="28"/>
        </w:rPr>
        <w:t>«</w:t>
      </w:r>
      <w:r w:rsidR="005D07E8" w:rsidRPr="005D07E8">
        <w:rPr>
          <w:rFonts w:ascii="Times New Roman" w:hAnsi="Times New Roman"/>
          <w:sz w:val="28"/>
          <w:szCs w:val="28"/>
        </w:rPr>
        <w:t xml:space="preserve">Предоставление </w:t>
      </w:r>
      <w:r w:rsidR="005D07E8" w:rsidRPr="005D07E8">
        <w:rPr>
          <w:rFonts w:ascii="Times New Roman" w:hAnsi="Times New Roman"/>
          <w:sz w:val="28"/>
          <w:szCs w:val="28"/>
        </w:rPr>
        <w:lastRenderedPageBreak/>
        <w:t xml:space="preserve">разрешения на </w:t>
      </w:r>
      <w:r w:rsidR="005D07E8" w:rsidRPr="005D07E8"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sz w:val="28"/>
          <w:szCs w:val="28"/>
        </w:rPr>
        <w:t>»</w:t>
      </w:r>
      <w:r w:rsidR="00CE18B2">
        <w:rPr>
          <w:rFonts w:ascii="Times New Roman" w:hAnsi="Times New Roman" w:cs="Times New Roman"/>
          <w:sz w:val="28"/>
          <w:szCs w:val="28"/>
        </w:rPr>
        <w:t>.</w:t>
      </w:r>
    </w:p>
    <w:p w:rsidR="00935641" w:rsidRPr="00EE39A3" w:rsidRDefault="00935641" w:rsidP="009356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935641" w:rsidRPr="00B50C5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C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35641" w:rsidRPr="00DC6F5C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Ю.Н.Пищулин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Исп: Филякина Л.В.</w:t>
      </w: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Тел: 8(84673)32339</w:t>
      </w: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641" w:rsidRDefault="00935641" w:rsidP="00935641">
      <w:pPr>
        <w:jc w:val="both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5D07E8" w:rsidRDefault="005D07E8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935641" w:rsidRPr="00E8274E" w:rsidRDefault="00CE18B2" w:rsidP="009356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935641" w:rsidRPr="00714343" w:rsidRDefault="00CE18B2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к  Постановлению</w:t>
      </w:r>
      <w:r w:rsidR="0093564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35641" w:rsidRPr="00714343">
        <w:rPr>
          <w:rFonts w:ascii="Times New Roman" w:eastAsia="Calibri" w:hAnsi="Times New Roman" w:cs="Times New Roman"/>
          <w:b/>
          <w:lang w:eastAsia="en-US"/>
        </w:rPr>
        <w:t xml:space="preserve"> администрации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сельского поселения Фрунзенское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муниципального района</w:t>
      </w:r>
    </w:p>
    <w:p w:rsidR="00935641" w:rsidRDefault="00935641" w:rsidP="00935641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Большеглушицкий Самар</w:t>
      </w:r>
      <w:r>
        <w:rPr>
          <w:rFonts w:ascii="Times New Roman" w:eastAsia="Calibri" w:hAnsi="Times New Roman" w:cs="Times New Roman"/>
          <w:b/>
          <w:lang w:eastAsia="en-US"/>
        </w:rPr>
        <w:t>с</w:t>
      </w:r>
      <w:r w:rsidRPr="00714343">
        <w:rPr>
          <w:rFonts w:ascii="Times New Roman" w:eastAsia="Calibri" w:hAnsi="Times New Roman" w:cs="Times New Roman"/>
          <w:b/>
          <w:lang w:eastAsia="en-US"/>
        </w:rPr>
        <w:t>кой области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5641">
        <w:rPr>
          <w:rFonts w:ascii="Times New Roman" w:hAnsi="Times New Roman" w:cs="Times New Roman"/>
          <w:b/>
        </w:rPr>
        <w:t xml:space="preserve">Об утверждении Административного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регламента предоставления администрацией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сельского поселения Фрунзенское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Самарской области муниципальной услуги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«Предоставление разрешени</w:t>
      </w:r>
      <w:r w:rsidR="004D7461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на условно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разрешенный вид использования земельного участка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Pr="00935641" w:rsidRDefault="005D07E8" w:rsidP="00935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 объекта</w:t>
      </w:r>
      <w:r w:rsidR="00935641" w:rsidRPr="00935641">
        <w:rPr>
          <w:rFonts w:ascii="Times New Roman" w:hAnsi="Times New Roman" w:cs="Times New Roman"/>
          <w:b/>
        </w:rPr>
        <w:t xml:space="preserve"> капитального строительства»</w:t>
      </w:r>
    </w:p>
    <w:p w:rsidR="00935641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от «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24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»  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июля</w:t>
      </w:r>
      <w:r>
        <w:rPr>
          <w:rFonts w:ascii="Times New Roman" w:eastAsia="Calibri" w:hAnsi="Times New Roman" w:cs="Times New Roman"/>
          <w:b/>
          <w:lang w:eastAsia="en-US"/>
        </w:rPr>
        <w:t xml:space="preserve"> 2018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 г. №</w:t>
      </w:r>
      <w:r w:rsidRPr="00074D5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37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        </w:t>
      </w: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1C7803" w:rsidRPr="00E8274E" w:rsidRDefault="001C7803" w:rsidP="001C7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935641" w:rsidRPr="00F8378B" w:rsidRDefault="001C7803" w:rsidP="001C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935641" w:rsidRPr="00F8378B">
        <w:rPr>
          <w:rFonts w:ascii="Times New Roman" w:hAnsi="Times New Roman"/>
          <w:b/>
          <w:sz w:val="28"/>
          <w:szCs w:val="28"/>
        </w:rPr>
        <w:t>«</w:t>
      </w:r>
      <w:r w:rsidR="00F8378B" w:rsidRPr="00F8378B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F8378B" w:rsidRPr="00F8378B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935641" w:rsidRPr="00F8378B">
        <w:rPr>
          <w:rFonts w:ascii="Times New Roman" w:hAnsi="Times New Roman"/>
          <w:b/>
          <w:sz w:val="28"/>
          <w:szCs w:val="28"/>
        </w:rPr>
        <w:t>»</w:t>
      </w:r>
    </w:p>
    <w:p w:rsidR="00935641" w:rsidRPr="001C7803" w:rsidRDefault="00935641" w:rsidP="00935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1.3.1. Местонахождение администрации: 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446185, Самарская о</w:t>
      </w:r>
      <w:r w:rsidR="00C153FA">
        <w:rPr>
          <w:rFonts w:ascii="Times New Roman" w:eastAsia="Times New Roman" w:hAnsi="Times New Roman" w:cs="Times New Roman"/>
          <w:sz w:val="28"/>
          <w:szCs w:val="28"/>
        </w:rPr>
        <w:t>бласть, Большеглушицкий район, п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оселок Фрунзенский, пл. Ленина, д.1.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Суббота и воскресенье выходные дни.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Тел.:  8(84673)</w:t>
      </w:r>
      <w:r>
        <w:rPr>
          <w:rFonts w:ascii="Times New Roman" w:eastAsia="Times New Roman" w:hAnsi="Times New Roman" w:cs="Times New Roman"/>
          <w:sz w:val="28"/>
          <w:szCs w:val="28"/>
        </w:rPr>
        <w:t>32339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Факс: 8(84673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32434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официального сайта администрации: </w:t>
      </w:r>
      <w:hyperlink r:id="rId9" w:history="1">
        <w:r w:rsidRPr="00552230">
          <w:rPr>
            <w:rStyle w:val="a6"/>
            <w:sz w:val="28"/>
            <w:szCs w:val="28"/>
          </w:rPr>
          <w:t>http://adm-frunzenskoe.ru</w:t>
        </w:r>
      </w:hyperlink>
    </w:p>
    <w:p w:rsidR="00CE18B2" w:rsidRP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администрации: </w:t>
      </w:r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r w:rsidRPr="00CE18B2">
        <w:rPr>
          <w:rFonts w:eastAsia="Times New Roman"/>
          <w:sz w:val="28"/>
          <w:szCs w:val="28"/>
          <w:lang w:val="en-US" w:eastAsia="en-IN"/>
        </w:rPr>
        <w:t>ru</w:t>
      </w:r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pStyle w:val="af9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10E2C">
        <w:rPr>
          <w:rFonts w:ascii="Times New Roman" w:eastAsia="Times New Roman" w:hAnsi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E18B2" w:rsidRPr="00CE18B2" w:rsidRDefault="00CE18B2" w:rsidP="00CE18B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администрации: </w:t>
      </w:r>
      <w:hyperlink r:id="rId10" w:history="1">
        <w:r w:rsidRPr="00552230">
          <w:rPr>
            <w:rStyle w:val="a6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20 минут, должностное лицо администрации, осуществляющее индивидуальное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1.3.11.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CE18B2" w:rsidRPr="0087757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определяется У</w:t>
      </w:r>
      <w:r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 учетом положений статьи 39 Градостроительного кодекса Российской Федерации. Срок проведения общественных обсуждений или публичных слушаний с момента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 времени и месте их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составляет двадцать пять дней.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№ 190-ФЗ;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12.07.2006 № 90-ГД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 на территории Самарской области»;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от 30.12.2013 г. № 132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13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www.pravo.gov.ru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Приложениями к заявлению являются составленные в произвольной форме схема планировочной организации земельного участка,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Пояснительная записка содержит: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арственном реестре недвижимости.</w:t>
      </w:r>
    </w:p>
    <w:p w:rsidR="00CE18B2" w:rsidRPr="003A5ED3" w:rsidRDefault="00CE18B2" w:rsidP="00CE18B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выписка из Единого государственного реестра недвижимости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капитального строительства;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наследия;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2.8.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услуги: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возможности установить личность заявителя (полномочного представителя);</w:t>
      </w:r>
    </w:p>
    <w:p w:rsidR="00CE18B2" w:rsidRPr="00F71307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полномочий у заявителя (представителя заявителя) подавать </w:t>
      </w:r>
      <w:hyperlink r:id="rId14" w:history="1">
        <w:r w:rsidRPr="00F713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1307">
        <w:rPr>
          <w:rFonts w:ascii="Times New Roman" w:hAnsi="Times New Roman" w:cs="Times New Roman"/>
          <w:sz w:val="28"/>
          <w:szCs w:val="28"/>
        </w:rPr>
        <w:t xml:space="preserve"> и пакет документов на предоставление муниципальной услуги;</w:t>
      </w:r>
    </w:p>
    <w:p w:rsidR="00CE18B2" w:rsidRPr="00F71307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 3) непредставление документов, перечисленных в пункте 2.6 настоящего Административного регламента.</w:t>
      </w:r>
    </w:p>
    <w:p w:rsidR="00CE18B2" w:rsidRPr="00F71307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>При подаче заявления через Единый портал основания для отказа</w:t>
      </w:r>
      <w:r w:rsidRPr="00F71307">
        <w:rPr>
          <w:rFonts w:ascii="Times New Roman" w:eastAsia="Times New Roman" w:hAnsi="Times New Roman" w:cs="Times New Roman"/>
          <w:sz w:val="28"/>
          <w:szCs w:val="28"/>
        </w:rPr>
        <w:br/>
        <w:t>в приеме документов отсутствуют.</w:t>
      </w:r>
    </w:p>
    <w:p w:rsidR="00CE18B2" w:rsidRPr="003A5ED3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2.9. Основания для </w:t>
      </w:r>
      <w:r w:rsidRPr="00F71307">
        <w:rPr>
          <w:rFonts w:ascii="Times New Roman" w:hAnsi="Times New Roman" w:cs="Times New Roman"/>
          <w:sz w:val="28"/>
          <w:szCs w:val="28"/>
        </w:rPr>
        <w:t>приостановления или отказа в предоставлении муниципальной услуги.</w:t>
      </w:r>
    </w:p>
    <w:p w:rsidR="00CE18B2" w:rsidRPr="003A5ED3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lastRenderedPageBreak/>
        <w:t>2.9.1. Основания для приостановления предоставления муниципальной услуги отсутствуют.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услуги: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 регламента территориальной зоны не включен условно разрешенный вид использования земельного участка или объекта капитального строительства, запрашиваемый заявителем;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границы земельного участка не имеют координатного описания;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кадастровой выписки земельного участка;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нарушены требования технических регламентов при размещении объектов капитального строительства или их реконструкции;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нарушены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на основании рекомендаций Комиссии, подготовленных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заключения о результатах общественных обсуждений или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общественных обсуждений или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услуга, для удобства заявителей размещаются на нижних, предпочтительнее на первых этажах здания.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CE18B2" w:rsidRPr="003A5ED3" w:rsidRDefault="00CE18B2" w:rsidP="00CE18B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Сотрудники, предоставляющие муниципальную услугу, обеспечиваются личными нагрудными идентификационными карточками (бейджами) с указанием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запросов;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предоставлении;</w:t>
      </w:r>
    </w:p>
    <w:p w:rsidR="00CE18B2" w:rsidRPr="00044C79" w:rsidRDefault="00CE18B2" w:rsidP="00CE1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(заявления) о предоставлении муниципальной услуги и документов по почте, от курьера или экспресс-почтой.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3.21. Дело доставляется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экспресс-почтой.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15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6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 наличие документов, указанных в </w:t>
      </w:r>
      <w:hyperlink r:id="rId17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регламента.</w:t>
      </w:r>
    </w:p>
    <w:p w:rsidR="00CE18B2" w:rsidRPr="00D41E5A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18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D41E5A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D41E5A">
        <w:rPr>
          <w:rFonts w:ascii="Times New Roman" w:hAnsi="Times New Roman" w:cs="Times New Roman"/>
          <w:sz w:val="28"/>
          <w:szCs w:val="28"/>
        </w:rPr>
        <w:t>5 – 3.45 настоящего Административного регламента.</w:t>
      </w:r>
    </w:p>
    <w:p w:rsidR="00CE18B2" w:rsidRPr="00065FE1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лица, заинтересованного в предоставлении разрешения на условно разрешенный вид использования,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065FE1">
        <w:rPr>
          <w:rFonts w:ascii="Times New Roman" w:hAnsi="Times New Roman" w:cs="Times New Roman"/>
          <w:sz w:val="28"/>
          <w:szCs w:val="28"/>
        </w:rPr>
        <w:t xml:space="preserve">, переходит к осуществлению действий, предусмотренных </w:t>
      </w:r>
      <w:hyperlink r:id="rId20" w:history="1">
        <w:r w:rsidRPr="00065FE1">
          <w:rPr>
            <w:rFonts w:ascii="Times New Roman" w:hAnsi="Times New Roman" w:cs="Times New Roman"/>
            <w:sz w:val="28"/>
            <w:szCs w:val="28"/>
          </w:rPr>
          <w:t>пунктами 3.53</w:t>
        </w:r>
      </w:hyperlink>
      <w:r w:rsidRPr="00065FE1">
        <w:rPr>
          <w:rFonts w:ascii="Times New Roman" w:hAnsi="Times New Roman" w:cs="Times New Roman"/>
          <w:sz w:val="28"/>
          <w:szCs w:val="28"/>
        </w:rPr>
        <w:t xml:space="preserve"> -3.57 настоящего Административного регламента.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документов, предусмотренных </w:t>
      </w:r>
      <w:hyperlink r:id="rId21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Pr="006606D2">
        <w:rPr>
          <w:rFonts w:ascii="Times New Roman" w:hAnsi="Times New Roman" w:cs="Times New Roman"/>
          <w:sz w:val="28"/>
          <w:szCs w:val="28"/>
        </w:rPr>
        <w:t xml:space="preserve">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22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Межведомственный запрос формируется в соответствии с требованиями Федерального </w:t>
      </w:r>
      <w:hyperlink r:id="rId23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3.30.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25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публичных слушаний;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- проект постановления главы поселения о</w:t>
      </w:r>
      <w:r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об отказе в проведении общественных обсуждений или публичных слушаний, подготовленный на основании рекомендаций.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3.31. Критерием принятия решения является наличие </w:t>
      </w:r>
      <w:hyperlink r:id="rId27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3.32.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главе поселения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или публичных слушаний либо отказе в проведении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CE18B2" w:rsidRPr="003A5ED3" w:rsidRDefault="00CE18B2" w:rsidP="00CE18B2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наличие у главы поселения заявления и документов, необходимых для принятия решения о проведении общественных обсуждений или публичных слушаний или об отказе в их проведении.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3.36. Ответственными за выполнение административной процедуры являются должностное лицо Комиссии, глава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Глава поселения в 2-дневный срок со дня получения документов принимает решение о </w:t>
      </w:r>
      <w:r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их проведении (далее – постановление главы поселения).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постановления главы поселения и его размещение на официальном сайте </w:t>
      </w:r>
      <w:r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сети Интернет осуществляется не позднее 10 дней со дня получения главой поселения заявления и документов.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слушаний, заключение о результатах общественных обсуждений или публичных слушаний. Заключение о результатах общественных обсуждений или публичных слушаний подписываются главой поселения в течение 1 дня.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заключение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Максимальный срок проведения общественных обсуждений или публичных слушаний - 25 дней со дня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слушаний.</w:t>
      </w:r>
    </w:p>
    <w:p w:rsidR="00CE18B2" w:rsidRPr="003A5ED3" w:rsidRDefault="00CE18B2" w:rsidP="00CE18B2">
      <w:pPr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3.48. 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28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3.51.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3.52. Максимальный срок выполнения административной процедуры - не более 7 дней.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3.53.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поселения соответствующего муниципального правового акта.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 администрации, уполномоченное на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использования, обеспечивает подготовку проекта муниципального правового акта,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 4 к настоящему Административному регламенту.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E18B2" w:rsidRPr="003A5ED3" w:rsidRDefault="00CE18B2" w:rsidP="00CE18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CE18B2" w:rsidRPr="003A5ED3" w:rsidRDefault="00CE18B2" w:rsidP="00CE18B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Pr="003A5ED3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9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</w:t>
      </w:r>
      <w:r w:rsidRPr="003A5ED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0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досудебном (внесудебном) порядке. 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pacing w:val="-6"/>
          <w:sz w:val="28"/>
          <w:szCs w:val="28"/>
        </w:rPr>
        <w:t>5.2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A5ED3">
        <w:rPr>
          <w:rFonts w:ascii="Times New Roman" w:hAnsi="Times New Roman" w:cs="Times New Roman"/>
          <w:sz w:val="28"/>
          <w:szCs w:val="28"/>
        </w:rPr>
        <w:t xml:space="preserve">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31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3A5ED3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или в электронной форме</w:t>
      </w:r>
      <w:r w:rsidR="002F2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32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главы сельского поселения </w:t>
      </w:r>
      <w:r w:rsidR="002F2D89">
        <w:rPr>
          <w:rFonts w:ascii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рассматриваются непосредственно главой сельского поселения </w:t>
      </w:r>
      <w:r w:rsidR="002F2D89">
        <w:rPr>
          <w:rFonts w:ascii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33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A5ED3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подаются руководителям этих организаций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  <w:r w:rsidRPr="003A5ED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4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Единого портала государственных и муниципальных услуг либо Регионального портала, а также может быть принята при личном приеме заявителя.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5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решения и (или) действия (бездействие) которых обжалуются;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6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7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запроса, указанного в </w:t>
      </w:r>
      <w:hyperlink r:id="rId38" w:history="1">
        <w:r w:rsidRPr="003A5ED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услуги.</w:t>
      </w:r>
      <w:r w:rsidRPr="003A5ED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  <w:r w:rsidRPr="003A5ED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3A5ED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7) отказ администрации, должностного лица администрации,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41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3A5ED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3A5ED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3A5ED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3A5E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 либо учредителю МФЦ, а также в организации, предусмотренные </w:t>
      </w:r>
      <w:hyperlink r:id="rId44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 жалобы от заявителя.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5.8. Жалоба, поступившая в администрацию,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45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6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5.9. По результатам рассмотрения жалобы принимается одно из следующих решений:</w:t>
      </w:r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8B2" w:rsidRP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lastRenderedPageBreak/>
        <w:t>Приложение 1</w:t>
      </w: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 w:rsidR="009B545C">
        <w:rPr>
          <w:rFonts w:ascii="Times New Roman" w:eastAsia="Times New Roman" w:hAnsi="Times New Roman" w:cs="Times New Roman"/>
          <w:b/>
        </w:rPr>
        <w:t xml:space="preserve">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CE18B2" w:rsidRPr="009B545C" w:rsidRDefault="00CE18B2" w:rsidP="00CE18B2">
      <w:pPr>
        <w:rPr>
          <w:rFonts w:ascii="Times New Roman" w:eastAsia="Times New Roman" w:hAnsi="Times New Roman" w:cs="Times New Roman"/>
          <w:b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), местоположении я земельного  участка или объекта капитального 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7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 средств в местный бюджет.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2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CE18B2" w:rsidRPr="0074183B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45C">
        <w:rPr>
          <w:rFonts w:ascii="Times New Roman" w:eastAsia="Times New Roman" w:hAnsi="Times New Roman" w:cs="Times New Roman"/>
          <w:b/>
        </w:rPr>
        <w:t>Бланк уполномоченного органа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форме),принято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823D0D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18B2" w:rsidRPr="003A5ED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="00CE18B2"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9B545C" w:rsidRPr="003A5ED3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9B545C" w:rsidRPr="00D413FD" w:rsidRDefault="00CE18B2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9B545C" w:rsidRPr="00D413FD" w:rsidRDefault="009B545C" w:rsidP="009B5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lastRenderedPageBreak/>
        <w:t>Приложение 3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нужное) 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от __________входящий номер 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участка/объекта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Фрунзенское муниципального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lastRenderedPageBreak/>
        <w:t>Приложение 4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/ объекта капитального строительства (указать нужное)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от __________входящий номер _______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/ объекта капитального строительства 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 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Фрунзенское муниципального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07B45" w:rsidRP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307B45" w:rsidRPr="009B545C" w:rsidSect="00C153FA">
      <w:headerReference w:type="even" r:id="rId48"/>
      <w:headerReference w:type="default" r:id="rId4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5" w:rsidRDefault="00397205" w:rsidP="00935641">
      <w:r>
        <w:separator/>
      </w:r>
    </w:p>
  </w:endnote>
  <w:endnote w:type="continuationSeparator" w:id="0">
    <w:p w:rsidR="00397205" w:rsidRDefault="00397205" w:rsidP="009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5" w:rsidRDefault="00397205" w:rsidP="00935641">
      <w:r>
        <w:separator/>
      </w:r>
    </w:p>
  </w:footnote>
  <w:footnote w:type="continuationSeparator" w:id="0">
    <w:p w:rsidR="00397205" w:rsidRDefault="00397205" w:rsidP="0093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D" w:rsidRDefault="00823D0D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823D0D" w:rsidRDefault="00823D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D" w:rsidRDefault="00823D0D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107B1D">
      <w:rPr>
        <w:rStyle w:val="a9"/>
        <w:rFonts w:eastAsiaTheme="majorEastAsia"/>
        <w:noProof/>
      </w:rPr>
      <w:t>34</w:t>
    </w:r>
    <w:r>
      <w:rPr>
        <w:rStyle w:val="a9"/>
        <w:rFonts w:eastAsiaTheme="majorEastAsia"/>
      </w:rPr>
      <w:fldChar w:fldCharType="end"/>
    </w:r>
  </w:p>
  <w:p w:rsidR="00823D0D" w:rsidRDefault="00823D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41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5E42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07B1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2405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58F9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4ED"/>
    <w:rsid w:val="001C5A39"/>
    <w:rsid w:val="001C683B"/>
    <w:rsid w:val="001C6D90"/>
    <w:rsid w:val="001C739A"/>
    <w:rsid w:val="001C7803"/>
    <w:rsid w:val="001D09B1"/>
    <w:rsid w:val="001D512F"/>
    <w:rsid w:val="001D6F4F"/>
    <w:rsid w:val="001D768A"/>
    <w:rsid w:val="001D7BD9"/>
    <w:rsid w:val="001E009D"/>
    <w:rsid w:val="001E2802"/>
    <w:rsid w:val="001E399C"/>
    <w:rsid w:val="001E53B4"/>
    <w:rsid w:val="001E5419"/>
    <w:rsid w:val="001F22F6"/>
    <w:rsid w:val="001F29D9"/>
    <w:rsid w:val="001F44CD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4EEA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117F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77B94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2801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2D89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5B2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3B6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7205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141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4597"/>
    <w:rsid w:val="00475D91"/>
    <w:rsid w:val="00475ED6"/>
    <w:rsid w:val="004771F5"/>
    <w:rsid w:val="00480CF1"/>
    <w:rsid w:val="00480D9F"/>
    <w:rsid w:val="00482DAB"/>
    <w:rsid w:val="0048527E"/>
    <w:rsid w:val="00485348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D7461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2C6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5FB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867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7E8"/>
    <w:rsid w:val="005D0AF1"/>
    <w:rsid w:val="005D0E89"/>
    <w:rsid w:val="005D273A"/>
    <w:rsid w:val="005D37F6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2DC8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123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8EA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385D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4A62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D0D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556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3F66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35641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17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45C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3F6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38D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43A2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E7D9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3FA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C7ECB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18B2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3F7D"/>
    <w:rsid w:val="00D448DF"/>
    <w:rsid w:val="00D45BFD"/>
    <w:rsid w:val="00D536C8"/>
    <w:rsid w:val="00D53B46"/>
    <w:rsid w:val="00D564FD"/>
    <w:rsid w:val="00D57E68"/>
    <w:rsid w:val="00D60CFA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DF7F83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1CCB"/>
    <w:rsid w:val="00E426B7"/>
    <w:rsid w:val="00E44F0A"/>
    <w:rsid w:val="00E465B9"/>
    <w:rsid w:val="00E46F81"/>
    <w:rsid w:val="00E47481"/>
    <w:rsid w:val="00E47775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541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49F7"/>
    <w:rsid w:val="00F75EF6"/>
    <w:rsid w:val="00F76500"/>
    <w:rsid w:val="00F765D6"/>
    <w:rsid w:val="00F770F4"/>
    <w:rsid w:val="00F77CB0"/>
    <w:rsid w:val="00F800BB"/>
    <w:rsid w:val="00F81A7C"/>
    <w:rsid w:val="00F81DA7"/>
    <w:rsid w:val="00F8378B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consultantplus://offline/ref=2AFB76D53056471481D18B5DFAA9BE2600D82729EBED48BA279097956A923408DF668D60E07C6255481AE6r6o6L" TargetMode="External"/><Relationship Id="rId26" Type="http://schemas.openxmlformats.org/officeDocument/2006/relationships/hyperlink" Target="consultantplus://offline/ref=08DCFB56152D4601461FAEC5B726B2A67F02D2F3260906490D4F95E1D7561ABB0CBA12934D30D662AE16E9iFwDL" TargetMode="External"/><Relationship Id="rId39" Type="http://schemas.openxmlformats.org/officeDocument/2006/relationships/hyperlink" Target="consultantplus://offline/ref=354E5E8F12DB748DBF625F782151121C6CB74966624E31C5217E156825DE94D7529FC8F7B1EEB879HFT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FB76D53056471481D18B5DFAA9BE2600D82729EBED48BA279097956A923408DF668D60E07C6255481AE6r6o6L" TargetMode="External"/><Relationship Id="rId34" Type="http://schemas.openxmlformats.org/officeDocument/2006/relationships/hyperlink" Target="consultantplus://offline/ref=BF0D6DE6B4A932EE603267A533A0A0F6ABBE8802488608F22565E26B72C8DE7E4B24A6BAF1DD9BB6S7L0H" TargetMode="External"/><Relationship Id="rId42" Type="http://schemas.openxmlformats.org/officeDocument/2006/relationships/hyperlink" Target="consultantplus://offline/ref=EAA390271FD7DDB2CF6F5F6E9ACEDF5C40AA861C46C01FA61D1AF4E14873A23F3064D34FA5E08599gDp8G" TargetMode="External"/><Relationship Id="rId47" Type="http://schemas.openxmlformats.org/officeDocument/2006/relationships/hyperlink" Target="consultantplus://offline/ref=EA28C1D13CD1CEA3346381FBFB9A2D739ACE0DF0566BF6A2CF3AA0FB3FA357E141DF7B4C9701E1B916u2L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2AFB76D53056471481D18B5DFAA9BE2600D82729EBED48BA279097956A923408DF668D60E07C6255481AE6r6o6L" TargetMode="External"/><Relationship Id="rId25" Type="http://schemas.openxmlformats.org/officeDocument/2006/relationships/hyperlink" Target="consultantplus://offline/ref=08DCFB56152D4601461FAEC5B726B2A67F02D2F3260906490D4F95E1D7561ABB0CBA12934D30D662AE16EFiFw6L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03A1775B91AA0E9794017FD69E136815CF67420087D04D49BD6B6C90E19921CB2CD662BE3CW6Q6G" TargetMode="External"/><Relationship Id="rId46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B76D53056471481D18B5DFAA9BE2600D82729EBED48BA279097956A923408DF668D60E07C6255481AE0r6oDL" TargetMode="External"/><Relationship Id="rId20" Type="http://schemas.openxmlformats.org/officeDocument/2006/relationships/hyperlink" Target="consultantplus://offline/ref=2AFB76D53056471481D18B5DFAA9BE2600D82729EBED48BA279097956A923408DF668D60E07C62554819E5r6o5L" TargetMode="External"/><Relationship Id="rId29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C18106DD17A2578ECECDC7B33FBFAFC94402DB7A1BD4BED897F6CD6C9AC4B99C1AF21E1F7D966A8Bp2k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08DCFB56152D4601461FAEC5B726B2A67F02D2F3260906490D4F95E1D7561ABB0CBA12934D30D662AE14E4iFwCL" TargetMode="External"/><Relationship Id="rId32" Type="http://schemas.openxmlformats.org/officeDocument/2006/relationships/hyperlink" Target="consultantplus://offline/ref=DB357B178F0A84F0F26746C6CE32720551A8BEBBE4D9A5615A1813E55B07A5C4A043B2B95B696647i6y5H" TargetMode="External"/><Relationship Id="rId37" Type="http://schemas.openxmlformats.org/officeDocument/2006/relationships/hyperlink" Target="consultantplus://offline/ref=C2DFE5DE8505B1D92E2F24F50E24F8B2CBCB96A73485C0B7906F0F6A93F5658A062069724CEDABB0EDUBH" TargetMode="External"/><Relationship Id="rId40" Type="http://schemas.openxmlformats.org/officeDocument/2006/relationships/hyperlink" Target="consultantplus://offline/ref=D306948517067C3F75BDC6CB5D86BF54A36208E8AF9B03BF46D4ACDB3C74C7D6B40ACAF48D29F3EBWCj2G" TargetMode="External"/><Relationship Id="rId45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76D53056471481D18B5DFAA9BE2600D82729EBED48BA279097956A923408DF668D60E07C62554818EBr6o7L" TargetMode="External"/><Relationship Id="rId23" Type="http://schemas.openxmlformats.org/officeDocument/2006/relationships/hyperlink" Target="consultantplus://offline/ref=DD7F78A033328B6D5F7B0640BE9B3B12F54FE231AD832894C17F8BA678G0Y8M" TargetMode="External"/><Relationship Id="rId28" Type="http://schemas.openxmlformats.org/officeDocument/2006/relationships/hyperlink" Target="consultantplus://offline/ref=881CA125F874FB0B9B03D243A7A90C98CE77E74ABCD94169F57986B36B52971B1AF3122D6C6B6BB582917EuFD7F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49" Type="http://schemas.openxmlformats.org/officeDocument/2006/relationships/header" Target="header2.xm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2AFB76D53056471481D18B5DFAA9BE2600D82729EBED48BA279097956A923408DF668D60E07C62554819E7r6o3L" TargetMode="External"/><Relationship Id="rId31" Type="http://schemas.openxmlformats.org/officeDocument/2006/relationships/hyperlink" Target="consultantplus://offline/ref=C18106DD17A2578ECECDC7B33FBFAFC94402DB7A1BD4BED897F6CD6C9AC4B99C1AF21E1F7D966A8Bp2kAG" TargetMode="External"/><Relationship Id="rId44" Type="http://schemas.openxmlformats.org/officeDocument/2006/relationships/hyperlink" Target="consultantplus://offline/ref=DB357B178F0A84F0F26746C6CE32720551A8BEBBE4D9A5615A1813E55B07A5C4A043B2B95B696647i6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A1EBF8CE04E59E37593A7F4785BCC549407CB4CE791D9970DC9FFAF7996DE74C894D9ADF35115A713F497508A0L" TargetMode="External"/><Relationship Id="rId22" Type="http://schemas.openxmlformats.org/officeDocument/2006/relationships/hyperlink" Target="consultantplus://offline/ref=2AFB76D53056471481D18B5DFAA9BE2600D82729EBED48BA279097956A923408DF668D60E07C6255481AE6r6o6L" TargetMode="External"/><Relationship Id="rId27" Type="http://schemas.openxmlformats.org/officeDocument/2006/relationships/hyperlink" Target="consultantplus://offline/ref=08DCFB56152D4601461FAEC5B726B2A67F02D2F3260906490D4F95E1D7561ABB0CBA12934D30D662AE14E4iFwCL" TargetMode="External"/><Relationship Id="rId30" Type="http://schemas.openxmlformats.org/officeDocument/2006/relationships/hyperlink" Target="consultantplus://offline/ref=C18106DD17A2578ECECDC7B33FBFAFC94402DB7A1BD4BED897F6CD6C9AC4B99C1AF21E1F7D966A8Bp2kAG" TargetMode="External"/><Relationship Id="rId35" Type="http://schemas.openxmlformats.org/officeDocument/2006/relationships/hyperlink" Target="consultantplus://offline/ref=BB71E6A3A0FBE152DCE4CACC23F882462748510EBFC687E6D057DE7E78125D6086BED12EAF988568lFS4H" TargetMode="External"/><Relationship Id="rId43" Type="http://schemas.openxmlformats.org/officeDocument/2006/relationships/hyperlink" Target="consultantplus://offline/ref=8A4E37E76C2E6315FA5BCB36530BECA4EC61CD629280B95120003E6F51ABF5214D60621717C21C71jEq8G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8EE5-D64C-4405-BF12-425B7EA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13272</Words>
  <Characters>75654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2018-06-21T09:59:00Z</cp:lastPrinted>
  <dcterms:created xsi:type="dcterms:W3CDTF">2018-07-27T06:14:00Z</dcterms:created>
  <dcterms:modified xsi:type="dcterms:W3CDTF">2018-07-27T06:14:00Z</dcterms:modified>
</cp:coreProperties>
</file>