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D" w:rsidRPr="00282F40" w:rsidRDefault="000F76ED" w:rsidP="00282F40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76ED" w:rsidRPr="00282F40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="00282F40" w:rsidRPr="00282F40">
        <w:rPr>
          <w:b/>
          <w:bCs/>
          <w:sz w:val="28"/>
          <w:szCs w:val="28"/>
        </w:rPr>
        <w:t>205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282F40" w:rsidRPr="00282F40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» </w:t>
      </w:r>
      <w:r w:rsidR="00282F40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6ED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0F76ED" w:rsidRPr="009B6132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0F76ED" w:rsidRPr="00873D50" w:rsidRDefault="000F76ED" w:rsidP="000F76E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0F76ED" w:rsidRPr="009B6132" w:rsidRDefault="000F76ED" w:rsidP="000F76E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0F76ED" w:rsidRPr="00C46D51" w:rsidRDefault="000F76ED" w:rsidP="000F76ED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Фрунзенские Вести 2018, 03 апреля, № 7(144), Фрунзенские Вести 2018, 09 июля,  </w:t>
      </w:r>
      <w:r>
        <w:rPr>
          <w:sz w:val="28"/>
          <w:szCs w:val="28"/>
        </w:rPr>
        <w:lastRenderedPageBreak/>
        <w:t>№ 13(150), Фрунзенские Вести 2019, 23 апреля,  № 11(178)</w:t>
      </w:r>
      <w:r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54</w:t>
      </w:r>
      <w:r w:rsidRPr="003967D7">
        <w:rPr>
          <w:sz w:val="28"/>
          <w:szCs w:val="28"/>
        </w:rPr>
        <w:t xml:space="preserve"> исключить;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абзацами следующего содержания: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E72181">
        <w:rPr>
          <w:b/>
          <w:sz w:val="28"/>
          <w:szCs w:val="28"/>
        </w:rPr>
        <w:t xml:space="preserve">карта-схема прилегающей территории </w:t>
      </w:r>
      <w:r>
        <w:rPr>
          <w:sz w:val="28"/>
          <w:szCs w:val="28"/>
        </w:rPr>
        <w:t>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E72181">
        <w:rPr>
          <w:b/>
          <w:sz w:val="28"/>
          <w:szCs w:val="28"/>
        </w:rPr>
        <w:t>объекты благоустройства</w:t>
      </w:r>
      <w:r>
        <w:rPr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благоустройству.»;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пункты 2.1.4; 2.1.7</w:t>
      </w:r>
      <w:r w:rsidRPr="00B20DF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 исключить;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2.1.6., 2.1.8.- 2.1.42, раздела 2.1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соответственно пунктами 2.1.4., 2.1.5.-2.1.39.;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разделом 2.6 следующего содержания: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2.6. Содержание прилегающих территорий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Границы прилегающих территорий могут быть определены одним из следующих способов: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и собственником или иным законным владельцем здания, строения, сооружения, земельного участка  либо уполномоченным лицом.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0F76ED" w:rsidRPr="00E73E1B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</w:t>
      </w:r>
      <w:r w:rsidRPr="00E73E1B">
        <w:t xml:space="preserve"> </w:t>
      </w:r>
      <w:r w:rsidRPr="00E73E1B"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E73E1B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73E1B">
          <w:rPr>
            <w:sz w:val="28"/>
            <w:szCs w:val="28"/>
          </w:rPr>
          <w:t>15 метров</w:t>
        </w:r>
      </w:smartTag>
      <w:r w:rsidRPr="00E73E1B">
        <w:rPr>
          <w:sz w:val="28"/>
          <w:szCs w:val="28"/>
        </w:rPr>
        <w:t xml:space="preserve"> от ограждения стройки по всему периметру;</w:t>
      </w:r>
    </w:p>
    <w:p w:rsidR="000F76ED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– в радиусе не менее 20 метров.</w:t>
      </w:r>
    </w:p>
    <w:p w:rsidR="000F76ED" w:rsidRDefault="000F76ED" w:rsidP="000F76ED">
      <w:pPr>
        <w:spacing w:after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2.6.4. </w:t>
      </w:r>
      <w:r w:rsidRPr="00E73E1B">
        <w:rPr>
          <w:sz w:val="28"/>
          <w:szCs w:val="28"/>
        </w:rPr>
        <w:t>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0F76ED" w:rsidRPr="00E73E1B" w:rsidRDefault="000F76ED" w:rsidP="000F76E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E73E1B">
        <w:t xml:space="preserve"> </w:t>
      </w:r>
      <w:r w:rsidRPr="00E73E1B">
        <w:rPr>
          <w:sz w:val="28"/>
          <w:szCs w:val="28"/>
        </w:rPr>
        <w:t>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8) на автомобильных дорогах с элементами обустройства, площадях, улицах и проездах  дорожной сети, а также мостах, путепроводах- сельское поселение, осуществляющее содержание и уборку дорог в поселении;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10) на посадочных площадках остановок общественного транспорта: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павильонах, в которых вмонтированы или располагаются рекламные конструкции - рекламораспространители;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- с отдельно стоящими и сопряженными с павильоном объектами потребительского рынка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Заключение соглашений об определении границ прилегающих </w:t>
      </w:r>
      <w:r>
        <w:rPr>
          <w:sz w:val="28"/>
          <w:szCs w:val="28"/>
        </w:rPr>
        <w:lastRenderedPageBreak/>
        <w:t xml:space="preserve">территорий, подготовка и рассмотрение карт-схем, систематизация карт-схем осуществляется в соответствии с порядком </w:t>
      </w:r>
      <w:r w:rsidRPr="00EF1128">
        <w:rPr>
          <w:sz w:val="28"/>
          <w:szCs w:val="28"/>
        </w:rPr>
        <w:t xml:space="preserve">заключения соглашений об определении границ прилегающей территории, заключаемым между администрацией сельского поселения </w:t>
      </w:r>
      <w:r w:rsidR="00FB528F">
        <w:rPr>
          <w:sz w:val="28"/>
          <w:szCs w:val="28"/>
        </w:rPr>
        <w:t>Фрунзенское</w:t>
      </w:r>
      <w:r w:rsidRPr="00EF1128">
        <w:rPr>
          <w:sz w:val="28"/>
          <w:szCs w:val="28"/>
        </w:rPr>
        <w:t xml:space="preserve">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территории,  систематизации карт-схем прилегающей территории, а также использования сведений, содержащихся в картах-схемах прилегающей территории, в контрольных мероприятиях</w:t>
      </w:r>
      <w:r>
        <w:rPr>
          <w:sz w:val="28"/>
          <w:szCs w:val="28"/>
        </w:rPr>
        <w:t xml:space="preserve"> </w:t>
      </w:r>
      <w:r w:rsidRPr="00EF1128">
        <w:rPr>
          <w:sz w:val="28"/>
          <w:szCs w:val="28"/>
        </w:rPr>
        <w:t>утвержд</w:t>
      </w:r>
      <w:r w:rsidR="00FB528F">
        <w:rPr>
          <w:sz w:val="28"/>
          <w:szCs w:val="28"/>
        </w:rPr>
        <w:t>аемых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 w:rsidR="00FB528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.». </w:t>
      </w:r>
    </w:p>
    <w:p w:rsidR="000F76ED" w:rsidRPr="00E23838" w:rsidRDefault="000F76ED" w:rsidP="000F76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0F76ED" w:rsidRPr="008578B7" w:rsidRDefault="000F76ED" w:rsidP="000F76E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июля 2019 года.</w:t>
      </w:r>
    </w:p>
    <w:p w:rsidR="000F76ED" w:rsidRDefault="000F76ED" w:rsidP="000F76ED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0F76ED" w:rsidRDefault="000F76ED" w:rsidP="000F76ED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0F76ED" w:rsidTr="00C25F2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0F76ED" w:rsidRDefault="000F76ED" w:rsidP="00C25F21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76ED" w:rsidRDefault="000F76ED" w:rsidP="00C25F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0F76ED" w:rsidRDefault="000F76ED" w:rsidP="000F76ED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46" w:rsidRDefault="00390146" w:rsidP="00563ADD">
      <w:r>
        <w:separator/>
      </w:r>
    </w:p>
  </w:endnote>
  <w:endnote w:type="continuationSeparator" w:id="0">
    <w:p w:rsidR="00390146" w:rsidRDefault="0039014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9014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5612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39014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46" w:rsidRDefault="00390146" w:rsidP="00563ADD">
      <w:r>
        <w:separator/>
      </w:r>
    </w:p>
  </w:footnote>
  <w:footnote w:type="continuationSeparator" w:id="0">
    <w:p w:rsidR="00390146" w:rsidRDefault="0039014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561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6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2F40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14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45D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651D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958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AA1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3B53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28F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069B4E-9EE7-47B7-AF3F-E0E12544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2019-09-25T09:12:00Z</dcterms:created>
  <dcterms:modified xsi:type="dcterms:W3CDTF">2019-09-25T09:12:00Z</dcterms:modified>
</cp:coreProperties>
</file>